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6DB" w:rsidRPr="00E820AE" w:rsidRDefault="001E66DB" w:rsidP="001E66DB">
      <w:pPr>
        <w:pStyle w:val="1"/>
        <w:numPr>
          <w:ilvl w:val="0"/>
          <w:numId w:val="0"/>
        </w:numPr>
        <w:spacing w:line="340" w:lineRule="exact"/>
        <w:ind w:right="96"/>
        <w:jc w:val="both"/>
        <w:rPr>
          <w:i w:val="0"/>
          <w:szCs w:val="26"/>
        </w:rPr>
      </w:pPr>
      <w:r>
        <w:rPr>
          <w:i w:val="0"/>
          <w:szCs w:val="26"/>
        </w:rPr>
        <w:t xml:space="preserve">Υπόδειγμα </w:t>
      </w:r>
      <w:r w:rsidRPr="00E820AE">
        <w:rPr>
          <w:i w:val="0"/>
          <w:szCs w:val="26"/>
        </w:rPr>
        <w:t>Έκθεση</w:t>
      </w:r>
      <w:r>
        <w:rPr>
          <w:i w:val="0"/>
          <w:szCs w:val="26"/>
        </w:rPr>
        <w:t>ς</w:t>
      </w:r>
      <w:r w:rsidRPr="00E820AE">
        <w:rPr>
          <w:i w:val="0"/>
          <w:szCs w:val="26"/>
        </w:rPr>
        <w:t xml:space="preserve"> Ευρημάτων Ορκωτού Ελεγκτή Λογιστή από τη διενέργεια Προσυμφωνημένων Διαδικασιών επί του υπολογισμού της Κεφαλαιακής Απαίτησης Φερεγγυότητας σύμφωνα με την τυποποιημένη μέθοδο, της Ελάχιστης Κεφαλαιακής Απαίτησης και του Περιθωρίου Κινδύνου.</w:t>
      </w:r>
      <w:r w:rsidRPr="00E820AE">
        <w:rPr>
          <w:rStyle w:val="a4"/>
          <w:i w:val="0"/>
          <w:szCs w:val="26"/>
        </w:rPr>
        <w:footnoteReference w:id="1"/>
      </w:r>
    </w:p>
    <w:p w:rsidR="001E66DB" w:rsidRPr="00E820AE" w:rsidRDefault="001E66DB" w:rsidP="001E66DB">
      <w:pPr>
        <w:ind w:right="95"/>
        <w:rPr>
          <w:rFonts w:ascii="Times New Roman" w:hAnsi="Times New Roman"/>
          <w:szCs w:val="26"/>
        </w:rPr>
      </w:pPr>
    </w:p>
    <w:p w:rsidR="001E66DB" w:rsidRPr="00E820AE" w:rsidRDefault="001E66DB" w:rsidP="001E66DB">
      <w:pPr>
        <w:spacing w:before="130" w:after="130"/>
        <w:ind w:right="95"/>
        <w:rPr>
          <w:rFonts w:ascii="Times New Roman" w:hAnsi="Times New Roman"/>
          <w:bCs/>
          <w:szCs w:val="26"/>
        </w:rPr>
      </w:pPr>
      <w:r w:rsidRPr="00E820AE">
        <w:rPr>
          <w:rFonts w:ascii="Times New Roman" w:hAnsi="Times New Roman"/>
          <w:szCs w:val="26"/>
        </w:rPr>
        <w:t xml:space="preserve">Προς τη Διοίκηση της ασφαλιστικής </w:t>
      </w:r>
      <w:r w:rsidRPr="00E820AE">
        <w:rPr>
          <w:rFonts w:ascii="Times New Roman" w:hAnsi="Times New Roman"/>
          <w:bCs/>
          <w:szCs w:val="26"/>
        </w:rPr>
        <w:t>εταιρείας ΑΒΓ ΑΕ</w:t>
      </w:r>
    </w:p>
    <w:p w:rsidR="001E66DB" w:rsidRPr="00E820AE" w:rsidRDefault="001E66DB" w:rsidP="001E66DB">
      <w:pPr>
        <w:spacing w:before="130" w:after="130"/>
        <w:ind w:right="95"/>
        <w:rPr>
          <w:rFonts w:ascii="Times New Roman" w:hAnsi="Times New Roman"/>
          <w:szCs w:val="26"/>
        </w:rPr>
      </w:pPr>
      <w:r w:rsidRPr="00E820AE">
        <w:rPr>
          <w:rFonts w:ascii="Times New Roman" w:hAnsi="Times New Roman"/>
          <w:bCs/>
          <w:szCs w:val="26"/>
        </w:rPr>
        <w:t>(Προς υποβολή στη Διεύθυνση Εποπτείας Ιδιωτικής Ασφάλισης της Τράπεζας της Ελλάδος)</w:t>
      </w:r>
    </w:p>
    <w:p w:rsidR="001E66DB" w:rsidRDefault="001E66DB" w:rsidP="001E66DB">
      <w:pPr>
        <w:pStyle w:val="BodyText3"/>
        <w:spacing w:before="0" w:after="0" w:line="360" w:lineRule="exact"/>
        <w:ind w:right="96"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 xml:space="preserve">Διενεργήσαμε τις διαδικασίες που συμφωνήθηκαν με την από ΧΧ/ΧΧ/201Χ επιστολή ανάθεσης έργου, όπως απαριθμούνται κατωτέρω, αναφορικά με την Κεφαλαιακή Απαίτηση Φερεγγυότητας σύμφωνα με την τυποποιημένη μέθοδο, την Ελάχιστη Κεφαλαιακή Απαίτηση και το Περιθώριο Κινδύνου, που υπολογίστηκαν με ημερομηνία αναφοράς την 31 Δεκεμβρίου 2016 από την ασφαλιστική εταιρεία ΑΒΓ </w:t>
      </w:r>
      <w:r w:rsidRPr="0090575D">
        <w:rPr>
          <w:rFonts w:ascii="Times New Roman" w:hAnsi="Times New Roman" w:cs="Times New Roman"/>
          <w:sz w:val="26"/>
          <w:szCs w:val="26"/>
          <w:lang w:val="el-GR"/>
        </w:rPr>
        <w:t>ΑΕ</w:t>
      </w:r>
      <w:r w:rsidRPr="0090575D">
        <w:rPr>
          <w:rFonts w:ascii="Times New Roman" w:hAnsi="Times New Roman" w:cs="Times New Roman"/>
          <w:bCs/>
          <w:sz w:val="26"/>
          <w:szCs w:val="26"/>
          <w:lang w:val="el-GR"/>
        </w:rPr>
        <w:t xml:space="preserve"> (η </w:t>
      </w:r>
      <w:r w:rsidRPr="0090575D">
        <w:rPr>
          <w:rFonts w:ascii="Times New Roman" w:hAnsi="Times New Roman" w:cs="Times New Roman"/>
          <w:sz w:val="26"/>
          <w:szCs w:val="26"/>
          <w:lang w:val="el-GR"/>
        </w:rPr>
        <w:t>«Εταιρεία»), στα</w:t>
      </w:r>
      <w:r w:rsidRPr="0090575D">
        <w:rPr>
          <w:rFonts w:ascii="Times New Roman" w:hAnsi="Times New Roman" w:cs="Times New Roman"/>
          <w:bCs/>
          <w:sz w:val="26"/>
          <w:szCs w:val="26"/>
          <w:lang w:val="el-GR"/>
        </w:rPr>
        <w:t xml:space="preserve"> πλ</w:t>
      </w:r>
      <w:r w:rsidRPr="0090575D">
        <w:rPr>
          <w:rFonts w:ascii="Times New Roman" w:hAnsi="Times New Roman" w:cs="Times New Roman"/>
          <w:sz w:val="26"/>
          <w:szCs w:val="26"/>
          <w:lang w:val="el-GR"/>
        </w:rPr>
        <w:t>αίσια των υποχρεώσεών της που απορρέουν από το άρθρο 4 της Πράξης Εκτελεστικής Επιτροπής (ΠΕΕ) 105/ 12.12.2016 της Τράπεζας της Ελλάδος σχετικά με την Έκθεση Φερεγγυότητας και Χρηματοοικονομικής Κατάστασης, η οποία συντάσσεται από την Εταιρεία σύμφωνα με το Ν. 4364/2016,</w:t>
      </w:r>
      <w:r w:rsidRPr="00E820AE">
        <w:rPr>
          <w:rFonts w:ascii="Times New Roman" w:hAnsi="Times New Roman" w:cs="Times New Roman"/>
          <w:sz w:val="26"/>
          <w:szCs w:val="26"/>
          <w:lang w:val="el-GR"/>
        </w:rPr>
        <w:t xml:space="preserve"> την Οδηγία 2009/138/ΕΚ του Ευρωπαϊκού Κοινοβουλίου και του Συμβουλίου, τις διατάξεις των Εκτελεστικών Κανονισμών ΕΕ 2015/2452 και ΕΕ 2015/35 της Ευρωπαϊκής Επιτροπής, καθώς και των από 12.12.2016 σχετικών ΠΕΕ της Τράπεζας της Ελλάδος, αναφορικά με την Υποβολή Πληροφοριών επί του Πλαισίου Φερεγγυότητας ΙΙ (εφεξής το «Πλαίσιο ΦΙΙ»). </w:t>
      </w:r>
    </w:p>
    <w:p w:rsidR="001E66DB" w:rsidRPr="00E820AE" w:rsidRDefault="001E66DB" w:rsidP="001E66DB">
      <w:pPr>
        <w:pStyle w:val="BodyText3"/>
        <w:spacing w:before="130" w:after="130" w:line="240" w:lineRule="auto"/>
        <w:ind w:right="95" w:firstLine="0"/>
        <w:rPr>
          <w:rFonts w:ascii="Times New Roman" w:hAnsi="Times New Roman" w:cs="Times New Roman"/>
          <w:sz w:val="26"/>
          <w:szCs w:val="26"/>
          <w:lang w:val="el-GR"/>
        </w:rPr>
      </w:pPr>
    </w:p>
    <w:p w:rsidR="001E66DB" w:rsidRDefault="001E66DB" w:rsidP="001E66DB">
      <w:pPr>
        <w:spacing w:line="360" w:lineRule="exact"/>
        <w:ind w:right="95"/>
        <w:rPr>
          <w:rFonts w:ascii="Times New Roman" w:hAnsi="Times New Roman"/>
          <w:b/>
          <w:bCs/>
          <w:szCs w:val="26"/>
        </w:rPr>
      </w:pPr>
      <w:r w:rsidRPr="00E820AE">
        <w:rPr>
          <w:rFonts w:ascii="Times New Roman" w:hAnsi="Times New Roman"/>
          <w:b/>
          <w:bCs/>
          <w:szCs w:val="26"/>
        </w:rPr>
        <w:t>Η ευθύνη της διοίκησης</w:t>
      </w:r>
    </w:p>
    <w:p w:rsidR="001E66DB" w:rsidRPr="00114DC1" w:rsidRDefault="001E66DB" w:rsidP="001E66DB">
      <w:pPr>
        <w:spacing w:line="240" w:lineRule="auto"/>
        <w:ind w:right="95"/>
        <w:rPr>
          <w:rFonts w:ascii="Times New Roman" w:hAnsi="Times New Roman"/>
          <w:b/>
          <w:bCs/>
          <w:sz w:val="20"/>
        </w:rPr>
      </w:pPr>
    </w:p>
    <w:p w:rsidR="001E66DB"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Η διοίκηση έχει την ευθύνη για τη σύνταξη της Έκθεσης Φερεγγυότητας και Χρηματοοικονομικής Κατάστασης του άρθρου 38 του Ν. 4364/2016, σύμφωνα με τους όρους του Πλαισίου ΦΙΙ.</w:t>
      </w: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p>
    <w:p w:rsidR="001E66DB" w:rsidRDefault="001E66DB" w:rsidP="001E66DB">
      <w:pPr>
        <w:spacing w:line="360" w:lineRule="exact"/>
        <w:ind w:right="95"/>
        <w:rPr>
          <w:rFonts w:ascii="Times New Roman" w:hAnsi="Times New Roman"/>
          <w:b/>
          <w:bCs/>
          <w:szCs w:val="26"/>
        </w:rPr>
      </w:pPr>
      <w:r w:rsidRPr="00E820AE">
        <w:rPr>
          <w:rFonts w:ascii="Times New Roman" w:hAnsi="Times New Roman"/>
          <w:b/>
          <w:bCs/>
          <w:szCs w:val="26"/>
        </w:rPr>
        <w:t xml:space="preserve">Η ευθύνη </w:t>
      </w:r>
      <w:r>
        <w:rPr>
          <w:rFonts w:ascii="Times New Roman" w:hAnsi="Times New Roman"/>
          <w:b/>
          <w:bCs/>
          <w:szCs w:val="26"/>
        </w:rPr>
        <w:t>μας</w:t>
      </w:r>
    </w:p>
    <w:p w:rsidR="001E66DB" w:rsidRPr="00114DC1" w:rsidRDefault="001E66DB" w:rsidP="001E66DB">
      <w:pPr>
        <w:spacing w:line="240" w:lineRule="auto"/>
        <w:ind w:right="95"/>
        <w:rPr>
          <w:rFonts w:ascii="Times New Roman" w:hAnsi="Times New Roman"/>
          <w:b/>
          <w:bCs/>
          <w:sz w:val="20"/>
        </w:rPr>
      </w:pPr>
    </w:p>
    <w:p w:rsidR="001E66DB" w:rsidRPr="00E820AE" w:rsidRDefault="001E66DB" w:rsidP="001E66DB">
      <w:pPr>
        <w:pStyle w:val="a5"/>
        <w:spacing w:after="0" w:line="360" w:lineRule="exact"/>
        <w:ind w:right="95"/>
        <w:rPr>
          <w:rFonts w:ascii="Times New Roman" w:hAnsi="Times New Roman"/>
          <w:szCs w:val="26"/>
        </w:rPr>
      </w:pPr>
      <w:r w:rsidRPr="00E820AE">
        <w:rPr>
          <w:rFonts w:ascii="Times New Roman" w:hAnsi="Times New Roman"/>
          <w:szCs w:val="26"/>
        </w:rPr>
        <w:t xml:space="preserve">Η δική μας ευθύνη, είναι να διενεργήσουμε τις κατωτέρω προσυμφωνημένες διαδικασίες σύμφωνα με το Διεθνές Πρότυπο Συναφών Υπηρεσιών 4400, το </w:t>
      </w:r>
      <w:r w:rsidRPr="00E820AE">
        <w:rPr>
          <w:rFonts w:ascii="Times New Roman" w:hAnsi="Times New Roman"/>
          <w:szCs w:val="26"/>
        </w:rPr>
        <w:lastRenderedPageBreak/>
        <w:t xml:space="preserve">οποίο ισχύει σε «Αναθέσεις Εκτέλεσης Προσυμφωνημένων Διαδικασιών Συναφών με Χρηματοοικονομική Πληροφόρηση» και να αναφέρουμε τα ευρήματά μας. </w:t>
      </w:r>
    </w:p>
    <w:p w:rsidR="001E66DB" w:rsidRPr="00E820AE" w:rsidRDefault="001E66DB" w:rsidP="001E66DB">
      <w:pPr>
        <w:pStyle w:val="a5"/>
        <w:spacing w:after="0" w:line="360" w:lineRule="exact"/>
        <w:ind w:right="95"/>
        <w:rPr>
          <w:rFonts w:ascii="Times New Roman" w:hAnsi="Times New Roman"/>
          <w:szCs w:val="26"/>
        </w:rPr>
      </w:pPr>
      <w:r w:rsidRPr="00E820AE">
        <w:rPr>
          <w:rFonts w:ascii="Times New Roman" w:hAnsi="Times New Roman"/>
          <w:szCs w:val="26"/>
        </w:rPr>
        <w:t>Διαδικασίες που διενεργήθηκαν</w:t>
      </w:r>
    </w:p>
    <w:p w:rsidR="001E66DB" w:rsidRDefault="001E66DB" w:rsidP="001E66DB">
      <w:pPr>
        <w:pStyle w:val="a5"/>
        <w:spacing w:after="0" w:line="360" w:lineRule="exact"/>
        <w:ind w:right="95"/>
        <w:rPr>
          <w:rFonts w:ascii="Times New Roman" w:hAnsi="Times New Roman"/>
          <w:szCs w:val="26"/>
        </w:rPr>
      </w:pPr>
      <w:r w:rsidRPr="00E820AE">
        <w:rPr>
          <w:rFonts w:ascii="Times New Roman" w:hAnsi="Times New Roman"/>
          <w:szCs w:val="26"/>
        </w:rPr>
        <w:t>Οι διαδικασίες που απαριθμούνται κατωτέρω διενεργήθηκαν λαμβάνοντας υπόψη το Πλαίσιο ΦΙΙ, καθώς και τις διατάξεις του άρθρου 4 της ΠΕΕ 105/12.12.2016 της Τράπεζας της Ελλάδος.</w:t>
      </w:r>
    </w:p>
    <w:p w:rsidR="001E66DB" w:rsidRPr="00E820AE" w:rsidRDefault="001E66DB" w:rsidP="001E66DB">
      <w:pPr>
        <w:pStyle w:val="a5"/>
        <w:spacing w:after="0" w:line="360" w:lineRule="exact"/>
        <w:ind w:right="95"/>
        <w:rPr>
          <w:rFonts w:ascii="Times New Roman" w:hAnsi="Times New Roman"/>
          <w:szCs w:val="26"/>
        </w:rPr>
      </w:pP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1"/>
        <w:numPr>
          <w:ilvl w:val="0"/>
          <w:numId w:val="0"/>
        </w:numPr>
        <w:spacing w:line="360" w:lineRule="exact"/>
        <w:ind w:right="95"/>
        <w:jc w:val="both"/>
        <w:rPr>
          <w:i w:val="0"/>
          <w:szCs w:val="26"/>
        </w:rPr>
      </w:pPr>
      <w:r w:rsidRPr="0011774D">
        <w:rPr>
          <w:i w:val="0"/>
          <w:szCs w:val="26"/>
        </w:rPr>
        <w:t>Α. Κεφαλαιακή Απαίτηση Φερεγγυότητας – τυποποιημένη μέθοδος (</w:t>
      </w:r>
      <w:proofErr w:type="spellStart"/>
      <w:r w:rsidRPr="0011774D">
        <w:rPr>
          <w:i w:val="0"/>
          <w:szCs w:val="26"/>
        </w:rPr>
        <w:t>Solvency</w:t>
      </w:r>
      <w:proofErr w:type="spellEnd"/>
      <w:r w:rsidRPr="0011774D">
        <w:rPr>
          <w:i w:val="0"/>
          <w:szCs w:val="26"/>
        </w:rPr>
        <w:t xml:space="preserve"> Capital </w:t>
      </w:r>
      <w:proofErr w:type="spellStart"/>
      <w:r w:rsidRPr="0011774D">
        <w:rPr>
          <w:i w:val="0"/>
          <w:szCs w:val="26"/>
        </w:rPr>
        <w:t>Requirement</w:t>
      </w:r>
      <w:proofErr w:type="spellEnd"/>
      <w:r w:rsidRPr="0011774D">
        <w:rPr>
          <w:i w:val="0"/>
          <w:szCs w:val="26"/>
        </w:rPr>
        <w:t xml:space="preserve"> – Standard </w:t>
      </w:r>
      <w:proofErr w:type="spellStart"/>
      <w:r w:rsidRPr="0011774D">
        <w:rPr>
          <w:i w:val="0"/>
          <w:szCs w:val="26"/>
        </w:rPr>
        <w:t>Formula</w:t>
      </w:r>
      <w:proofErr w:type="spellEnd"/>
      <w:r w:rsidRPr="0011774D">
        <w:rPr>
          <w:i w:val="0"/>
          <w:szCs w:val="26"/>
        </w:rPr>
        <w:t>)</w:t>
      </w:r>
    </w:p>
    <w:p w:rsidR="001E66DB" w:rsidRPr="0011774D" w:rsidRDefault="001E66DB" w:rsidP="001E66DB">
      <w:pPr>
        <w:pStyle w:val="1"/>
        <w:numPr>
          <w:ilvl w:val="0"/>
          <w:numId w:val="0"/>
        </w:numPr>
        <w:spacing w:line="360" w:lineRule="exact"/>
        <w:ind w:right="95"/>
        <w:jc w:val="both"/>
        <w:rPr>
          <w:i w:val="0"/>
          <w:szCs w:val="26"/>
        </w:rPr>
      </w:pPr>
      <w:r w:rsidRPr="0011774D">
        <w:rPr>
          <w:i w:val="0"/>
          <w:szCs w:val="26"/>
        </w:rPr>
        <w:t>1. Γενικές απαιτήσεις για τον υπολογισμό της Κεφαλαιακής Απαίτησης Φερεγγυότητας (</w:t>
      </w:r>
      <w:r w:rsidRPr="0011774D">
        <w:rPr>
          <w:i w:val="0"/>
          <w:szCs w:val="26"/>
          <w:lang w:val="en-US"/>
        </w:rPr>
        <w:t>SCR</w:t>
      </w:r>
      <w:r w:rsidRPr="0011774D">
        <w:rPr>
          <w:i w:val="0"/>
          <w:szCs w:val="26"/>
        </w:rPr>
        <w:t>)</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2"/>
        <w:keepLines/>
        <w:numPr>
          <w:ilvl w:val="1"/>
          <w:numId w:val="5"/>
        </w:numPr>
        <w:tabs>
          <w:tab w:val="clear" w:pos="567"/>
          <w:tab w:val="clear" w:pos="851"/>
          <w:tab w:val="clear" w:pos="1560"/>
        </w:tabs>
        <w:spacing w:line="360" w:lineRule="exact"/>
        <w:ind w:left="567" w:right="95" w:hanging="567"/>
        <w:jc w:val="both"/>
        <w:rPr>
          <w:szCs w:val="26"/>
          <w:u w:val="none"/>
        </w:rPr>
      </w:pPr>
      <w:r w:rsidRPr="00E820AE">
        <w:rPr>
          <w:szCs w:val="26"/>
          <w:u w:val="none"/>
        </w:rPr>
        <w:t xml:space="preserve">Εξέταση της ύπαρξης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της Κεφαλαιακής Απαίτησης Φερεγγυότητας.</w:t>
      </w:r>
    </w:p>
    <w:p w:rsidR="001E66DB" w:rsidRPr="0011774D" w:rsidRDefault="001E66DB" w:rsidP="001E66DB">
      <w:pPr>
        <w:ind w:left="567" w:hanging="567"/>
      </w:pPr>
    </w:p>
    <w:p w:rsidR="001E66DB" w:rsidRPr="00E820AE" w:rsidRDefault="001E66DB" w:rsidP="001E66DB">
      <w:pPr>
        <w:pStyle w:val="2"/>
        <w:keepLines/>
        <w:numPr>
          <w:ilvl w:val="1"/>
          <w:numId w:val="5"/>
        </w:numPr>
        <w:tabs>
          <w:tab w:val="clear" w:pos="567"/>
          <w:tab w:val="clear" w:pos="851"/>
          <w:tab w:val="clear" w:pos="1560"/>
        </w:tabs>
        <w:spacing w:line="360" w:lineRule="exact"/>
        <w:ind w:left="567" w:right="95" w:hanging="567"/>
        <w:jc w:val="both"/>
        <w:rPr>
          <w:szCs w:val="26"/>
          <w:u w:val="none"/>
        </w:rPr>
      </w:pPr>
      <w:r w:rsidRPr="00E820AE">
        <w:rPr>
          <w:szCs w:val="26"/>
          <w:u w:val="none"/>
        </w:rPr>
        <w:t xml:space="preserve">Σε περίπτωση εφαρμογής μεταβατικών μέτρων που απαιτούν εποπτική έγκριση: </w:t>
      </w:r>
    </w:p>
    <w:p w:rsidR="001E66DB" w:rsidRPr="00E820AE" w:rsidRDefault="001E66DB" w:rsidP="001E66DB">
      <w:pPr>
        <w:pStyle w:val="a6"/>
        <w:numPr>
          <w:ilvl w:val="0"/>
          <w:numId w:val="2"/>
        </w:numPr>
        <w:spacing w:after="0" w:line="360" w:lineRule="exact"/>
        <w:ind w:right="95"/>
        <w:jc w:val="both"/>
        <w:rPr>
          <w:rFonts w:ascii="Times New Roman" w:hAnsi="Times New Roman"/>
          <w:sz w:val="26"/>
          <w:szCs w:val="26"/>
        </w:rPr>
      </w:pPr>
      <w:r>
        <w:rPr>
          <w:rFonts w:ascii="Times New Roman" w:hAnsi="Times New Roman"/>
          <w:sz w:val="26"/>
          <w:szCs w:val="26"/>
        </w:rPr>
        <w:t xml:space="preserve">    </w:t>
      </w:r>
      <w:r w:rsidRPr="00E820AE">
        <w:rPr>
          <w:rFonts w:ascii="Times New Roman" w:hAnsi="Times New Roman"/>
          <w:sz w:val="26"/>
          <w:szCs w:val="26"/>
        </w:rPr>
        <w:t>Εξέταση της ύπαρξης έγκρισης από την εποπτική αρχή.</w:t>
      </w:r>
    </w:p>
    <w:p w:rsidR="001E66DB" w:rsidRDefault="001E66DB" w:rsidP="001E66DB">
      <w:pPr>
        <w:pStyle w:val="a6"/>
        <w:numPr>
          <w:ilvl w:val="0"/>
          <w:numId w:val="2"/>
        </w:numPr>
        <w:spacing w:after="0" w:line="360" w:lineRule="exact"/>
        <w:ind w:right="95"/>
        <w:jc w:val="both"/>
        <w:rPr>
          <w:rFonts w:ascii="Times New Roman" w:hAnsi="Times New Roman"/>
          <w:sz w:val="26"/>
          <w:szCs w:val="26"/>
        </w:rPr>
      </w:pPr>
      <w:r>
        <w:rPr>
          <w:rFonts w:ascii="Times New Roman" w:hAnsi="Times New Roman"/>
          <w:sz w:val="26"/>
          <w:szCs w:val="26"/>
        </w:rPr>
        <w:t xml:space="preserve">   </w:t>
      </w:r>
      <w:r w:rsidRPr="00E820AE">
        <w:rPr>
          <w:rFonts w:ascii="Times New Roman" w:hAnsi="Times New Roman"/>
          <w:sz w:val="26"/>
          <w:szCs w:val="26"/>
        </w:rPr>
        <w:t xml:space="preserve">Εξέταση ότι η μεθοδολογία εφαρμογής μεταβατικών μέτρων είναι σύμφωνη με το Πλαίσιο ΦΙΙ. </w:t>
      </w:r>
    </w:p>
    <w:p w:rsidR="001E66DB" w:rsidRDefault="001E66DB" w:rsidP="001E66DB">
      <w:pPr>
        <w:pStyle w:val="a6"/>
        <w:spacing w:after="0" w:line="360" w:lineRule="exact"/>
        <w:ind w:left="0" w:right="95"/>
        <w:jc w:val="both"/>
        <w:rPr>
          <w:rFonts w:ascii="Times New Roman" w:hAnsi="Times New Roman"/>
          <w:sz w:val="26"/>
          <w:szCs w:val="26"/>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11774D">
        <w:rPr>
          <w:rFonts w:ascii="Times New Roman" w:eastAsia="SimSun" w:hAnsi="Times New Roman"/>
          <w:sz w:val="26"/>
          <w:szCs w:val="26"/>
          <w:lang w:eastAsia="zh-CN"/>
        </w:rPr>
        <w:t xml:space="preserve">Σε περίπτωση εφαρμογής της μεθοδολογίας προσαρμογής λόγω μεταβλητότητας ή/και  αντιστοίχισης, εξέταση ότι η μεθοδολογία αυτή είναι σύμφωνη με το Πλαίσιο ΦΙΙ και ότι η χρήση της τεκμηριώνεται. </w:t>
      </w:r>
    </w:p>
    <w:p w:rsidR="001E66DB" w:rsidRPr="009D5255" w:rsidRDefault="001E66DB" w:rsidP="001E66DB">
      <w:pPr>
        <w:pStyle w:val="a6"/>
        <w:spacing w:after="0" w:line="360" w:lineRule="exact"/>
        <w:ind w:left="567" w:right="95" w:hanging="567"/>
        <w:jc w:val="both"/>
        <w:rPr>
          <w:rFonts w:ascii="Times New Roman" w:hAnsi="Times New Roman"/>
          <w:sz w:val="26"/>
          <w:szCs w:val="26"/>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eastAsia="SimSun" w:hAnsi="Times New Roman"/>
          <w:sz w:val="26"/>
          <w:szCs w:val="26"/>
          <w:lang w:eastAsia="zh-CN"/>
        </w:rPr>
        <w:t xml:space="preserve">Εξέταση της ύπαρξης τεκμηρίωσης σε περίπτωση χρήσης απλοποιημένων διαδικασιών υπολογισμού.  </w:t>
      </w:r>
    </w:p>
    <w:p w:rsidR="001E66DB" w:rsidRDefault="001E66DB" w:rsidP="001E66DB">
      <w:pPr>
        <w:pStyle w:val="a6"/>
        <w:rPr>
          <w:rFonts w:ascii="Times New Roman" w:eastAsia="SimSun" w:hAnsi="Times New Roman"/>
          <w:sz w:val="26"/>
          <w:szCs w:val="26"/>
          <w:lang w:eastAsia="zh-CN"/>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eastAsia="SimSun" w:hAnsi="Times New Roman"/>
          <w:sz w:val="26"/>
          <w:szCs w:val="26"/>
          <w:lang w:eastAsia="zh-CN"/>
        </w:rPr>
        <w:t xml:space="preserve">Εξέταση των τεχνικών μείωσης κινδύνου και ενσωμάτωσής τους στους σχετικούς υπολογισμούς, σύμφωνα με το πλαίσιο ΦΙΙ. </w:t>
      </w:r>
    </w:p>
    <w:p w:rsidR="001E66DB" w:rsidRDefault="001E66DB" w:rsidP="001E66DB">
      <w:pPr>
        <w:pStyle w:val="a6"/>
        <w:rPr>
          <w:rFonts w:ascii="Times New Roman" w:eastAsia="SimSun" w:hAnsi="Times New Roman"/>
          <w:sz w:val="26"/>
          <w:szCs w:val="26"/>
          <w:lang w:eastAsia="zh-CN"/>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eastAsia="SimSun" w:hAnsi="Times New Roman"/>
          <w:sz w:val="26"/>
          <w:szCs w:val="26"/>
          <w:lang w:eastAsia="zh-CN"/>
        </w:rPr>
        <w:t>Εξέταση της εφαρμογής των απαιτήσεων του Πλαισίου ΦΙΙ σχετικά με τα κεφάλαια κλειστής διάρθρωσης (</w:t>
      </w:r>
      <w:proofErr w:type="spellStart"/>
      <w:r w:rsidRPr="009D5255">
        <w:rPr>
          <w:rFonts w:ascii="Times New Roman" w:eastAsia="SimSun" w:hAnsi="Times New Roman"/>
          <w:sz w:val="26"/>
          <w:szCs w:val="26"/>
          <w:lang w:eastAsia="zh-CN"/>
        </w:rPr>
        <w:t>Ring</w:t>
      </w:r>
      <w:proofErr w:type="spellEnd"/>
      <w:r w:rsidRPr="009D5255">
        <w:rPr>
          <w:rFonts w:ascii="Times New Roman" w:eastAsia="SimSun" w:hAnsi="Times New Roman"/>
          <w:sz w:val="26"/>
          <w:szCs w:val="26"/>
          <w:lang w:eastAsia="zh-CN"/>
        </w:rPr>
        <w:t xml:space="preserve"> </w:t>
      </w:r>
      <w:proofErr w:type="spellStart"/>
      <w:r w:rsidRPr="009D5255">
        <w:rPr>
          <w:rFonts w:ascii="Times New Roman" w:eastAsia="SimSun" w:hAnsi="Times New Roman"/>
          <w:sz w:val="26"/>
          <w:szCs w:val="26"/>
          <w:lang w:eastAsia="zh-CN"/>
        </w:rPr>
        <w:t>Fenced</w:t>
      </w:r>
      <w:proofErr w:type="spellEnd"/>
      <w:r w:rsidRPr="009D5255">
        <w:rPr>
          <w:rFonts w:ascii="Times New Roman" w:eastAsia="SimSun" w:hAnsi="Times New Roman"/>
          <w:sz w:val="26"/>
          <w:szCs w:val="26"/>
          <w:lang w:eastAsia="zh-CN"/>
        </w:rPr>
        <w:t xml:space="preserve">).  </w:t>
      </w:r>
    </w:p>
    <w:p w:rsidR="001E66DB" w:rsidRDefault="001E66DB" w:rsidP="001E66DB">
      <w:pPr>
        <w:pStyle w:val="a6"/>
        <w:rPr>
          <w:rFonts w:ascii="Times New Roman" w:eastAsia="SimSun" w:hAnsi="Times New Roman"/>
          <w:sz w:val="26"/>
          <w:szCs w:val="26"/>
          <w:lang w:eastAsia="zh-CN"/>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eastAsia="SimSun" w:hAnsi="Times New Roman"/>
          <w:sz w:val="26"/>
          <w:szCs w:val="26"/>
          <w:lang w:eastAsia="zh-CN"/>
        </w:rPr>
        <w:t xml:space="preserve">Σε περίπτωση υπολογισμών σε επίπεδο Ομίλου, εξέταση των μεθόδων ενοποίησης σύμφωνα με το πλαίσιο ΦΙΙ. </w:t>
      </w:r>
    </w:p>
    <w:p w:rsidR="001E66DB"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hAnsi="Times New Roman"/>
          <w:sz w:val="26"/>
          <w:szCs w:val="26"/>
        </w:rPr>
        <w:lastRenderedPageBreak/>
        <w:t>Εξέταση της ύπαρξης δικλίδων σχετικά με την πληρότητα των δεδομένων που χρησιμοποιήθηκαν για τον υπολογισμό της Κεφαλαιακής Απαίτησης Φερεγγυότητας σύμφωνα με την τυποποιημένη μέθοδο.</w:t>
      </w:r>
    </w:p>
    <w:p w:rsidR="001E66DB" w:rsidRDefault="001E66DB" w:rsidP="001E66DB">
      <w:pPr>
        <w:pStyle w:val="a6"/>
        <w:rPr>
          <w:rFonts w:ascii="Times New Roman" w:hAnsi="Times New Roman"/>
          <w:sz w:val="26"/>
          <w:szCs w:val="26"/>
        </w:rPr>
      </w:pPr>
    </w:p>
    <w:p w:rsidR="001E66DB"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hAnsi="Times New Roman"/>
          <w:sz w:val="26"/>
          <w:szCs w:val="26"/>
        </w:rPr>
        <w:t>Εξέταση της ύπαρξης διαδικασιών συμφωνίας των δεδομένων που χρησιμοποιούνται στους υπολογισμούς της Κεφαλαιακής Απαίτησης Φερεγγυότητας με τις πρωτογενείς βάσεις δεδομένων και τις χρηματοοικονομικές καταστάσεις της Εταιρείας.</w:t>
      </w:r>
    </w:p>
    <w:p w:rsidR="001E66DB" w:rsidRDefault="001E66DB" w:rsidP="001E66DB">
      <w:pPr>
        <w:pStyle w:val="a6"/>
        <w:rPr>
          <w:rFonts w:ascii="Times New Roman" w:hAnsi="Times New Roman"/>
          <w:sz w:val="26"/>
          <w:szCs w:val="26"/>
        </w:rPr>
      </w:pPr>
    </w:p>
    <w:p w:rsidR="001E66DB"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hAnsi="Times New Roman"/>
          <w:sz w:val="26"/>
          <w:szCs w:val="26"/>
        </w:rPr>
        <w:t>Εξέταση της ύπαρξης αυτοματοποιημένων και μη δικλίδων, για τον έλεγχο του υπολογισμού της Κεφαλαιακής Απαίτησης Φερεγγυότητας.</w:t>
      </w:r>
    </w:p>
    <w:p w:rsidR="001E66DB" w:rsidRDefault="001E66DB" w:rsidP="001E66DB">
      <w:pPr>
        <w:pStyle w:val="a6"/>
        <w:rPr>
          <w:rFonts w:ascii="Times New Roman" w:hAnsi="Times New Roman"/>
          <w:sz w:val="26"/>
          <w:szCs w:val="26"/>
        </w:rPr>
      </w:pPr>
    </w:p>
    <w:p w:rsidR="001E66DB"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hAnsi="Times New Roman"/>
          <w:sz w:val="26"/>
          <w:szCs w:val="26"/>
        </w:rPr>
        <w:t>Εξέταση της ύπαρξης διαδικασιών για την παρακολούθηση και τεκμηρίωση των μεταβολών της Κεφαλαιακής Απαίτησης Φερεγγυότητας σε σχέση με την προηγούμενη ημερομηνία αναφοράς.</w:t>
      </w:r>
    </w:p>
    <w:p w:rsidR="001E66DB" w:rsidRDefault="001E66DB" w:rsidP="001E66DB">
      <w:pPr>
        <w:pStyle w:val="a6"/>
        <w:rPr>
          <w:rFonts w:ascii="Times New Roman" w:hAnsi="Times New Roman"/>
          <w:sz w:val="26"/>
          <w:szCs w:val="26"/>
        </w:rPr>
      </w:pPr>
    </w:p>
    <w:p w:rsidR="001E66DB" w:rsidRPr="009D5255" w:rsidRDefault="001E66DB" w:rsidP="001E66DB">
      <w:pPr>
        <w:pStyle w:val="a6"/>
        <w:numPr>
          <w:ilvl w:val="1"/>
          <w:numId w:val="5"/>
        </w:numPr>
        <w:spacing w:after="0" w:line="360" w:lineRule="exact"/>
        <w:ind w:left="567" w:right="95" w:hanging="567"/>
        <w:jc w:val="both"/>
        <w:rPr>
          <w:rFonts w:ascii="Times New Roman" w:hAnsi="Times New Roman"/>
          <w:sz w:val="26"/>
          <w:szCs w:val="26"/>
        </w:rPr>
      </w:pPr>
      <w:r w:rsidRPr="009D5255">
        <w:rPr>
          <w:rFonts w:ascii="Times New Roman" w:hAnsi="Times New Roman"/>
          <w:sz w:val="26"/>
          <w:szCs w:val="26"/>
        </w:rPr>
        <w:t>Εξέταση ότι οι υπολογισμοί και η ακολουθούμενη μεθοδολογία της Κεφαλαιακής Απαίτησης Φερεγγυότητας σύμφωνα τη τυποποιημένη μέθοδο έχουν υποβληθεί σε μια διαδικασία εσωτερικής επικύρωσης που πραγματοποιείται ανεξάρτητα από τους υπεύθυνους για την ανάπτυξη των υπολογισμών και της μεθοδολογίας της Κεφαλαιακής Απαίτησης Φερεγγυότητας, πριν από την επίσημη έγκριση της διοίκησης.</w:t>
      </w:r>
    </w:p>
    <w:p w:rsidR="001E66DB" w:rsidRDefault="001E66DB" w:rsidP="001E66DB">
      <w:pPr>
        <w:pStyle w:val="1"/>
        <w:numPr>
          <w:ilvl w:val="0"/>
          <w:numId w:val="0"/>
        </w:numPr>
        <w:spacing w:line="360" w:lineRule="exact"/>
        <w:ind w:right="95"/>
        <w:jc w:val="both"/>
        <w:rPr>
          <w:b w:val="0"/>
          <w:i w:val="0"/>
          <w:szCs w:val="26"/>
        </w:rPr>
      </w:pPr>
    </w:p>
    <w:p w:rsidR="001E66DB" w:rsidRPr="009743CE" w:rsidRDefault="001E66DB" w:rsidP="001E66DB"/>
    <w:p w:rsidR="001E66DB" w:rsidRPr="0011774D" w:rsidRDefault="001E66DB" w:rsidP="001E66DB">
      <w:pPr>
        <w:pStyle w:val="1"/>
        <w:numPr>
          <w:ilvl w:val="0"/>
          <w:numId w:val="0"/>
        </w:numPr>
        <w:spacing w:line="360" w:lineRule="exact"/>
        <w:ind w:right="95"/>
        <w:jc w:val="both"/>
        <w:rPr>
          <w:i w:val="0"/>
          <w:szCs w:val="26"/>
        </w:rPr>
      </w:pPr>
      <w:r w:rsidRPr="0011774D">
        <w:rPr>
          <w:i w:val="0"/>
          <w:szCs w:val="26"/>
        </w:rPr>
        <w:t>2. Βασική Κεφαλαιακή Απαίτηση Φερεγγυότητας (</w:t>
      </w:r>
      <w:r w:rsidRPr="0011774D">
        <w:rPr>
          <w:i w:val="0"/>
          <w:szCs w:val="26"/>
          <w:lang w:val="en-US"/>
        </w:rPr>
        <w:t>Basic</w:t>
      </w:r>
      <w:r w:rsidRPr="0011774D">
        <w:rPr>
          <w:i w:val="0"/>
          <w:szCs w:val="26"/>
        </w:rPr>
        <w:t xml:space="preserve"> </w:t>
      </w:r>
      <w:r w:rsidRPr="0011774D">
        <w:rPr>
          <w:i w:val="0"/>
          <w:szCs w:val="26"/>
          <w:lang w:val="en-US"/>
        </w:rPr>
        <w:t>Solvency</w:t>
      </w:r>
      <w:r w:rsidRPr="0011774D">
        <w:rPr>
          <w:i w:val="0"/>
          <w:szCs w:val="26"/>
        </w:rPr>
        <w:t xml:space="preserve"> </w:t>
      </w:r>
      <w:r w:rsidRPr="0011774D">
        <w:rPr>
          <w:i w:val="0"/>
          <w:szCs w:val="26"/>
          <w:lang w:val="en-US"/>
        </w:rPr>
        <w:t>Capital</w:t>
      </w:r>
      <w:r w:rsidRPr="0011774D">
        <w:rPr>
          <w:i w:val="0"/>
          <w:szCs w:val="26"/>
        </w:rPr>
        <w:t xml:space="preserve"> </w:t>
      </w:r>
      <w:r w:rsidRPr="0011774D">
        <w:rPr>
          <w:i w:val="0"/>
          <w:szCs w:val="26"/>
          <w:lang w:val="en-US"/>
        </w:rPr>
        <w:t>Requirement</w:t>
      </w:r>
      <w:r w:rsidRPr="0011774D">
        <w:rPr>
          <w:i w:val="0"/>
          <w:szCs w:val="26"/>
        </w:rPr>
        <w:t xml:space="preserve"> – “</w:t>
      </w:r>
      <w:r w:rsidRPr="0011774D">
        <w:rPr>
          <w:i w:val="0"/>
          <w:szCs w:val="26"/>
          <w:lang w:val="en-US"/>
        </w:rPr>
        <w:t>BSCR</w:t>
      </w:r>
      <w:r w:rsidRPr="0011774D">
        <w:rPr>
          <w:i w:val="0"/>
          <w:szCs w:val="26"/>
        </w:rPr>
        <w:t>”)</w:t>
      </w:r>
    </w:p>
    <w:p w:rsidR="001E66DB" w:rsidRPr="00E820AE" w:rsidRDefault="001E66DB" w:rsidP="001E66DB">
      <w:pPr>
        <w:spacing w:line="360" w:lineRule="exact"/>
        <w:ind w:right="95"/>
        <w:rPr>
          <w:rFonts w:ascii="Times New Roman" w:hAnsi="Times New Roman"/>
          <w:szCs w:val="26"/>
        </w:rPr>
      </w:pPr>
    </w:p>
    <w:p w:rsidR="001E66DB" w:rsidRPr="009D5255" w:rsidRDefault="001E66DB" w:rsidP="001E66DB">
      <w:pPr>
        <w:pStyle w:val="2"/>
        <w:keepLines/>
        <w:numPr>
          <w:ilvl w:val="1"/>
          <w:numId w:val="4"/>
        </w:numPr>
        <w:tabs>
          <w:tab w:val="clear" w:pos="567"/>
          <w:tab w:val="clear" w:pos="851"/>
          <w:tab w:val="clear" w:pos="1560"/>
        </w:tabs>
        <w:spacing w:line="360" w:lineRule="exact"/>
        <w:ind w:right="95"/>
        <w:jc w:val="both"/>
        <w:rPr>
          <w:b/>
          <w:szCs w:val="26"/>
          <w:u w:val="none"/>
          <w:lang w:val="en-US"/>
        </w:rPr>
      </w:pPr>
      <w:r w:rsidRPr="009D5255">
        <w:rPr>
          <w:b/>
          <w:szCs w:val="26"/>
          <w:u w:val="none"/>
        </w:rPr>
        <w:t>Κίνδυνος Αγοράς (</w:t>
      </w:r>
      <w:r w:rsidRPr="009D5255">
        <w:rPr>
          <w:b/>
          <w:szCs w:val="26"/>
          <w:u w:val="none"/>
          <w:lang w:val="en-US"/>
        </w:rPr>
        <w:t>Market Risk)</w:t>
      </w:r>
    </w:p>
    <w:p w:rsidR="001E66DB" w:rsidRPr="00E820AE" w:rsidRDefault="001E66DB" w:rsidP="001E66DB">
      <w:pPr>
        <w:spacing w:line="360" w:lineRule="exact"/>
        <w:ind w:right="95"/>
        <w:rPr>
          <w:rFonts w:ascii="Times New Roman" w:hAnsi="Times New Roman"/>
          <w:szCs w:val="26"/>
          <w:lang w:val="en-US"/>
        </w:rPr>
      </w:pPr>
    </w:p>
    <w:p w:rsidR="00C51A70" w:rsidRDefault="00C51A70"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καταγεγραμμένης και </w:t>
      </w:r>
      <w:proofErr w:type="spellStart"/>
      <w:r w:rsidRPr="00E820AE">
        <w:rPr>
          <w:rFonts w:ascii="Times New Roman" w:hAnsi="Times New Roman"/>
          <w:b w:val="0"/>
          <w:sz w:val="26"/>
          <w:szCs w:val="26"/>
        </w:rPr>
        <w:t>επικαιροποιημένης</w:t>
      </w:r>
      <w:proofErr w:type="spellEnd"/>
      <w:r w:rsidRPr="00E820AE">
        <w:rPr>
          <w:rFonts w:ascii="Times New Roman" w:hAnsi="Times New Roman"/>
          <w:b w:val="0"/>
          <w:sz w:val="26"/>
          <w:szCs w:val="26"/>
        </w:rPr>
        <w:t xml:space="preserve"> μεθοδολογίας υπολογισμού του κινδύνου αγοράς</w:t>
      </w:r>
      <w:r w:rsidR="005E0E2A">
        <w:rPr>
          <w:rFonts w:ascii="Times New Roman" w:hAnsi="Times New Roman"/>
          <w:b w:val="0"/>
          <w:sz w:val="26"/>
          <w:szCs w:val="26"/>
        </w:rPr>
        <w:t>.</w:t>
      </w:r>
    </w:p>
    <w:p w:rsidR="005E0E2A" w:rsidRPr="005E0E2A" w:rsidRDefault="005E0E2A" w:rsidP="005E0E2A"/>
    <w:p w:rsidR="001E66DB" w:rsidRDefault="00C51A70"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Εξέταση ότι η μεθοδολογία υπολογισμού της κεφαλαιακής απαίτησης του κινδύνου αγοράς που εφαρμόζεται περιλαμβάνει την:</w:t>
      </w:r>
    </w:p>
    <w:p w:rsidR="005E0E2A" w:rsidRPr="00E820AE" w:rsidRDefault="005E0E2A" w:rsidP="005E0E2A">
      <w:pPr>
        <w:pStyle w:val="3"/>
        <w:keepLines/>
        <w:numPr>
          <w:ilvl w:val="0"/>
          <w:numId w:val="6"/>
        </w:numPr>
        <w:tabs>
          <w:tab w:val="clear" w:pos="567"/>
          <w:tab w:val="clear" w:pos="851"/>
          <w:tab w:val="clear" w:pos="1560"/>
        </w:tabs>
        <w:spacing w:line="360" w:lineRule="exact"/>
        <w:ind w:left="1134" w:right="95" w:hanging="425"/>
        <w:jc w:val="both"/>
        <w:rPr>
          <w:rFonts w:ascii="Times New Roman" w:eastAsia="SimSun" w:hAnsi="Times New Roman"/>
          <w:b w:val="0"/>
          <w:sz w:val="26"/>
          <w:szCs w:val="26"/>
          <w:lang w:eastAsia="zh-CN"/>
        </w:rPr>
      </w:pPr>
      <w:r w:rsidRPr="00E820AE">
        <w:rPr>
          <w:rFonts w:ascii="Times New Roman" w:eastAsia="SimSun" w:hAnsi="Times New Roman"/>
          <w:b w:val="0"/>
          <w:sz w:val="26"/>
          <w:szCs w:val="26"/>
          <w:lang w:eastAsia="zh-CN"/>
        </w:rPr>
        <w:t xml:space="preserve">χρήση των παραμέτρων υπολογισμού και τους συντελεστές συσχέτισης πίνακες συσχέτισης των </w:t>
      </w:r>
      <w:proofErr w:type="spellStart"/>
      <w:r w:rsidRPr="00E820AE">
        <w:rPr>
          <w:rFonts w:ascii="Times New Roman" w:eastAsia="SimSun" w:hAnsi="Times New Roman"/>
          <w:b w:val="0"/>
          <w:sz w:val="26"/>
          <w:szCs w:val="26"/>
          <w:lang w:eastAsia="zh-CN"/>
        </w:rPr>
        <w:t>υπο</w:t>
      </w:r>
      <w:proofErr w:type="spellEnd"/>
      <w:r w:rsidRPr="00E820AE">
        <w:rPr>
          <w:rFonts w:ascii="Times New Roman" w:eastAsia="SimSun" w:hAnsi="Times New Roman"/>
          <w:b w:val="0"/>
          <w:sz w:val="26"/>
          <w:szCs w:val="26"/>
          <w:lang w:eastAsia="zh-CN"/>
        </w:rPr>
        <w:t>-ενοτήτων του κινδύνου αγοράς σύμφωνα με το Πλαίσιο ΦΙΙ,</w:t>
      </w:r>
    </w:p>
    <w:p w:rsidR="00C51A70" w:rsidRDefault="00C51A70" w:rsidP="00C51A70"/>
    <w:p w:rsidR="00C51A70" w:rsidRPr="00C51A70" w:rsidRDefault="00C51A70" w:rsidP="00C51A70"/>
    <w:p w:rsidR="005E0E2A" w:rsidRPr="00E820AE" w:rsidRDefault="005E0E2A" w:rsidP="005E0E2A">
      <w:pPr>
        <w:pStyle w:val="3"/>
        <w:keepLines/>
        <w:numPr>
          <w:ilvl w:val="0"/>
          <w:numId w:val="6"/>
        </w:numPr>
        <w:tabs>
          <w:tab w:val="clear" w:pos="567"/>
          <w:tab w:val="clear" w:pos="851"/>
          <w:tab w:val="clear" w:pos="1560"/>
        </w:tabs>
        <w:spacing w:line="360" w:lineRule="exact"/>
        <w:ind w:left="1134" w:right="95" w:hanging="425"/>
        <w:jc w:val="both"/>
        <w:rPr>
          <w:rFonts w:ascii="Times New Roman" w:eastAsia="SimSun" w:hAnsi="Times New Roman"/>
          <w:b w:val="0"/>
          <w:sz w:val="26"/>
          <w:szCs w:val="26"/>
          <w:lang w:eastAsia="zh-CN"/>
        </w:rPr>
      </w:pPr>
      <w:r w:rsidRPr="00E820AE">
        <w:rPr>
          <w:rFonts w:ascii="Times New Roman" w:eastAsia="SimSun" w:hAnsi="Times New Roman"/>
          <w:b w:val="0"/>
          <w:sz w:val="26"/>
          <w:szCs w:val="26"/>
          <w:lang w:eastAsia="zh-CN"/>
        </w:rPr>
        <w:t>χρήση των καμπύλων επιτοκίου ανά νόμισμα για την ημερομηνία αναφοράς σύμφωνα με το Πλαίσιο ΦΙΙ.</w:t>
      </w:r>
    </w:p>
    <w:p w:rsidR="001E66DB" w:rsidRPr="00E820AE" w:rsidRDefault="001E66DB" w:rsidP="001E66DB">
      <w:pPr>
        <w:spacing w:line="360" w:lineRule="exact"/>
        <w:ind w:right="95"/>
        <w:rPr>
          <w:rFonts w:ascii="Times New Roman" w:hAnsi="Times New Roman"/>
          <w:szCs w:val="26"/>
        </w:rPr>
      </w:pPr>
    </w:p>
    <w:p w:rsidR="001E66DB" w:rsidRPr="00E820AE" w:rsidRDefault="005E0E2A"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τεκμηρίωσης των στοιχεία του ισολογισμού που υπόκεινται στις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-ενότητες κινδύνου επιτοκίου, μετοχών, τιμών ακινήτων, πιστωτικού περιθωρίου, συγκέντρωσης και συναλλαγματικού κινδύνου.</w:t>
      </w:r>
    </w:p>
    <w:p w:rsidR="001E66DB" w:rsidRPr="00E820AE" w:rsidRDefault="001E66DB" w:rsidP="001E66DB">
      <w:pPr>
        <w:spacing w:line="360" w:lineRule="exact"/>
        <w:ind w:right="95"/>
        <w:rPr>
          <w:rFonts w:ascii="Times New Roman" w:eastAsia="SimSun" w:hAnsi="Times New Roman"/>
          <w:szCs w:val="26"/>
          <w:lang w:eastAsia="zh-CN"/>
        </w:rPr>
      </w:pPr>
    </w:p>
    <w:p w:rsidR="001E66DB" w:rsidRPr="00E820AE" w:rsidRDefault="005E0E2A"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του επιμερισμού των στοιχείων των αμοιβαίων κεφαλαίων στις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-ενότητες κινδύνων που υπόκεινται (</w:t>
      </w:r>
      <w:proofErr w:type="spellStart"/>
      <w:r w:rsidRPr="00E820AE">
        <w:rPr>
          <w:rFonts w:ascii="Times New Roman" w:hAnsi="Times New Roman"/>
          <w:b w:val="0"/>
          <w:sz w:val="26"/>
          <w:szCs w:val="26"/>
        </w:rPr>
        <w:t>Look</w:t>
      </w:r>
      <w:proofErr w:type="spellEnd"/>
      <w:r w:rsidRPr="00E820AE">
        <w:rPr>
          <w:rFonts w:ascii="Times New Roman" w:hAnsi="Times New Roman"/>
          <w:b w:val="0"/>
          <w:sz w:val="26"/>
          <w:szCs w:val="26"/>
        </w:rPr>
        <w:t xml:space="preserve"> </w:t>
      </w:r>
      <w:proofErr w:type="spellStart"/>
      <w:r w:rsidRPr="00E820AE">
        <w:rPr>
          <w:rFonts w:ascii="Times New Roman" w:hAnsi="Times New Roman"/>
          <w:b w:val="0"/>
          <w:sz w:val="26"/>
          <w:szCs w:val="26"/>
        </w:rPr>
        <w:t>Through</w:t>
      </w:r>
      <w:proofErr w:type="spellEnd"/>
      <w:r w:rsidRPr="00E820AE">
        <w:rPr>
          <w:rFonts w:ascii="Times New Roman" w:hAnsi="Times New Roman"/>
          <w:b w:val="0"/>
          <w:sz w:val="26"/>
          <w:szCs w:val="26"/>
        </w:rPr>
        <w:t xml:space="preserve"> </w:t>
      </w:r>
      <w:proofErr w:type="spellStart"/>
      <w:r w:rsidRPr="00E820AE">
        <w:rPr>
          <w:rFonts w:ascii="Times New Roman" w:hAnsi="Times New Roman"/>
          <w:b w:val="0"/>
          <w:sz w:val="26"/>
          <w:szCs w:val="26"/>
        </w:rPr>
        <w:t>Approach</w:t>
      </w:r>
      <w:proofErr w:type="spellEnd"/>
      <w:r w:rsidRPr="00E820AE">
        <w:rPr>
          <w:rFonts w:ascii="Times New Roman" w:hAnsi="Times New Roman"/>
          <w:b w:val="0"/>
          <w:sz w:val="26"/>
          <w:szCs w:val="26"/>
        </w:rPr>
        <w:t>) σύμφωνα με τις απαιτήσεις του πλαισίου ΦΙΙ, σε περίπτωση επενδυτικών τοποθετήσεων σε αμοιβαία κεφάλαια.</w:t>
      </w:r>
    </w:p>
    <w:p w:rsidR="001E66DB" w:rsidRPr="00E820AE" w:rsidRDefault="001E66DB" w:rsidP="001E66DB">
      <w:pPr>
        <w:spacing w:line="360" w:lineRule="exact"/>
        <w:ind w:right="95"/>
        <w:rPr>
          <w:rFonts w:ascii="Times New Roman" w:hAnsi="Times New Roman"/>
          <w:szCs w:val="26"/>
        </w:rPr>
      </w:pPr>
    </w:p>
    <w:p w:rsidR="001E66DB" w:rsidRPr="00E820AE" w:rsidRDefault="005E0E2A"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του υπολογισμού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αγοράς για όλα τα στοιχεία του ισολογισμού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Pr="00E820AE" w:rsidRDefault="005E0E2A"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διαδικασιών συμφωνίας των δεδομένων που χρησιμοποιούνται στους υπολογισμούς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αγοράς, με τις πρωτογενείς βάσεις δεδομένων και τις χρηματοοικονομικές καταστάσεις της Εταιρείας.</w:t>
      </w:r>
    </w:p>
    <w:p w:rsidR="001E66DB" w:rsidRPr="00E820AE" w:rsidRDefault="001E66DB" w:rsidP="001E66DB">
      <w:pPr>
        <w:spacing w:line="360" w:lineRule="exact"/>
        <w:ind w:right="95"/>
        <w:rPr>
          <w:rFonts w:ascii="Times New Roman" w:hAnsi="Times New Roman"/>
          <w:szCs w:val="26"/>
        </w:rPr>
      </w:pPr>
    </w:p>
    <w:p w:rsidR="001E66DB" w:rsidRDefault="001E66DB" w:rsidP="001E66DB"/>
    <w:p w:rsidR="001E66DB" w:rsidRPr="009D5255" w:rsidRDefault="001E66DB" w:rsidP="001E66DB">
      <w:pPr>
        <w:pStyle w:val="2"/>
        <w:keepLines/>
        <w:numPr>
          <w:ilvl w:val="1"/>
          <w:numId w:val="4"/>
        </w:numPr>
        <w:tabs>
          <w:tab w:val="clear" w:pos="567"/>
          <w:tab w:val="clear" w:pos="851"/>
          <w:tab w:val="clear" w:pos="1560"/>
        </w:tabs>
        <w:spacing w:line="360" w:lineRule="exact"/>
        <w:ind w:right="95"/>
        <w:jc w:val="both"/>
        <w:rPr>
          <w:b/>
          <w:szCs w:val="26"/>
          <w:u w:val="none"/>
        </w:rPr>
      </w:pPr>
      <w:r w:rsidRPr="009D5255">
        <w:rPr>
          <w:b/>
          <w:szCs w:val="26"/>
          <w:u w:val="none"/>
        </w:rPr>
        <w:t>Κίνδυνος Αθέτησης Αντισυμβαλλόμενου (</w:t>
      </w:r>
      <w:proofErr w:type="spellStart"/>
      <w:r w:rsidRPr="009D5255">
        <w:rPr>
          <w:b/>
          <w:szCs w:val="26"/>
          <w:u w:val="none"/>
        </w:rPr>
        <w:t>Counterparty</w:t>
      </w:r>
      <w:proofErr w:type="spellEnd"/>
      <w:r w:rsidRPr="009D5255">
        <w:rPr>
          <w:b/>
          <w:szCs w:val="26"/>
          <w:u w:val="none"/>
        </w:rPr>
        <w:t xml:space="preserve"> </w:t>
      </w:r>
      <w:proofErr w:type="spellStart"/>
      <w:r w:rsidRPr="009D5255">
        <w:rPr>
          <w:b/>
          <w:szCs w:val="26"/>
          <w:u w:val="none"/>
        </w:rPr>
        <w:t>Default</w:t>
      </w:r>
      <w:proofErr w:type="spellEnd"/>
      <w:r w:rsidRPr="009D5255">
        <w:rPr>
          <w:b/>
          <w:szCs w:val="26"/>
          <w:u w:val="none"/>
        </w:rPr>
        <w:t xml:space="preserve"> </w:t>
      </w:r>
      <w:r w:rsidRPr="009D5255">
        <w:rPr>
          <w:b/>
          <w:szCs w:val="26"/>
          <w:u w:val="none"/>
          <w:lang w:val="en-US"/>
        </w:rPr>
        <w:t>R</w:t>
      </w:r>
      <w:proofErr w:type="spellStart"/>
      <w:r w:rsidRPr="009D5255">
        <w:rPr>
          <w:b/>
          <w:szCs w:val="26"/>
          <w:u w:val="none"/>
        </w:rPr>
        <w:t>isk</w:t>
      </w:r>
      <w:proofErr w:type="spellEnd"/>
      <w:r w:rsidRPr="009D5255">
        <w:rPr>
          <w:b/>
          <w:szCs w:val="26"/>
          <w:u w:val="none"/>
        </w:rPr>
        <w:t>)</w:t>
      </w:r>
    </w:p>
    <w:p w:rsidR="001E66DB" w:rsidRPr="00E820AE" w:rsidRDefault="001E66DB" w:rsidP="001E66DB">
      <w:pPr>
        <w:pStyle w:val="3"/>
        <w:numPr>
          <w:ilvl w:val="0"/>
          <w:numId w:val="0"/>
        </w:numPr>
        <w:spacing w:line="360" w:lineRule="exact"/>
        <w:ind w:left="720" w:right="95"/>
        <w:jc w:val="both"/>
        <w:rPr>
          <w:rFonts w:ascii="Times New Roman" w:hAnsi="Times New Roman"/>
          <w:b w:val="0"/>
          <w:sz w:val="26"/>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καταγεγραμμένης και </w:t>
      </w:r>
      <w:proofErr w:type="spellStart"/>
      <w:r w:rsidRPr="00E820AE">
        <w:rPr>
          <w:rFonts w:ascii="Times New Roman" w:hAnsi="Times New Roman"/>
          <w:b w:val="0"/>
          <w:sz w:val="26"/>
          <w:szCs w:val="26"/>
        </w:rPr>
        <w:t>επικαιροποιημένης</w:t>
      </w:r>
      <w:proofErr w:type="spellEnd"/>
      <w:r w:rsidRPr="00E820AE">
        <w:rPr>
          <w:rFonts w:ascii="Times New Roman" w:hAnsi="Times New Roman"/>
          <w:b w:val="0"/>
          <w:sz w:val="26"/>
          <w:szCs w:val="26"/>
        </w:rPr>
        <w:t xml:space="preserve"> μεθοδολογίας υπολογισμού του κινδύνου αθέτησης αντισυμβαλλομένου.</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χρήσης παραμέτρων υπολογισμού και συντελεστών συσχέτισης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 xml:space="preserve">-ενοτήτων του κινδύνου αθέτησης αντισυμβαλλομένου σύμφωνα με το Πλαίσιο ΦΙΙ.  </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τεκμηρίωσης αναφορικά με την ταξινόμηση των στοιχείων του ισολογισμού που υπόκεινται στις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-ενότητες κινδύνου για πιστωτικά ανοίγματα του τύπου 1 και τύπου 2.</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lastRenderedPageBreak/>
        <w:t xml:space="preserve">Εξέταση του υπολογισμού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αθέτησης αντισυμβαλλομένου για όλα τα στοιχεία του ισολογισμού που υπόκεινται σε αυτές, συμπεριλαμβανομένου του αποτελέσματος μείωσης του κινδύνου (</w:t>
      </w:r>
      <w:r w:rsidRPr="00E820AE">
        <w:rPr>
          <w:rFonts w:ascii="Times New Roman" w:hAnsi="Times New Roman"/>
          <w:b w:val="0"/>
          <w:sz w:val="26"/>
          <w:szCs w:val="26"/>
          <w:lang w:val="en-US"/>
        </w:rPr>
        <w:t>R</w:t>
      </w:r>
      <w:proofErr w:type="spellStart"/>
      <w:r w:rsidRPr="00E820AE">
        <w:rPr>
          <w:rFonts w:ascii="Times New Roman" w:hAnsi="Times New Roman"/>
          <w:b w:val="0"/>
          <w:sz w:val="26"/>
          <w:szCs w:val="26"/>
        </w:rPr>
        <w:t>isk</w:t>
      </w:r>
      <w:proofErr w:type="spellEnd"/>
      <w:r w:rsidRPr="00E820AE">
        <w:rPr>
          <w:rFonts w:ascii="Times New Roman" w:hAnsi="Times New Roman"/>
          <w:b w:val="0"/>
          <w:sz w:val="26"/>
          <w:szCs w:val="26"/>
        </w:rPr>
        <w:t xml:space="preserve"> </w:t>
      </w:r>
      <w:proofErr w:type="spellStart"/>
      <w:r w:rsidRPr="00E820AE">
        <w:rPr>
          <w:rFonts w:ascii="Times New Roman" w:hAnsi="Times New Roman"/>
          <w:b w:val="0"/>
          <w:sz w:val="26"/>
          <w:szCs w:val="26"/>
        </w:rPr>
        <w:t>Mitigating</w:t>
      </w:r>
      <w:proofErr w:type="spellEnd"/>
      <w:r w:rsidRPr="00E820AE">
        <w:rPr>
          <w:rFonts w:ascii="Times New Roman" w:hAnsi="Times New Roman"/>
          <w:b w:val="0"/>
          <w:sz w:val="26"/>
          <w:szCs w:val="26"/>
        </w:rPr>
        <w:t xml:space="preserve"> </w:t>
      </w:r>
      <w:proofErr w:type="spellStart"/>
      <w:r w:rsidRPr="00E820AE">
        <w:rPr>
          <w:rFonts w:ascii="Times New Roman" w:hAnsi="Times New Roman"/>
          <w:b w:val="0"/>
          <w:sz w:val="26"/>
          <w:szCs w:val="26"/>
        </w:rPr>
        <w:t>Effect</w:t>
      </w:r>
      <w:proofErr w:type="spellEnd"/>
      <w:r w:rsidRPr="00E820AE">
        <w:rPr>
          <w:rFonts w:ascii="Times New Roman" w:hAnsi="Times New Roman"/>
          <w:b w:val="0"/>
          <w:sz w:val="26"/>
          <w:szCs w:val="26"/>
        </w:rPr>
        <w: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διαδικασιών συμφωνίας των δεδομένων που χρησιμοποιούνται στους υπολογισμούς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αθέτησης αντισυμβαλλομένου με τις πρωτογενείς βάσεις δεδομένων και τις χρηματοοικονομικές καταστάσεις της Εταιρείας.</w:t>
      </w:r>
    </w:p>
    <w:p w:rsidR="001E66DB" w:rsidRPr="00E820AE" w:rsidRDefault="001E66DB" w:rsidP="001E66DB">
      <w:pPr>
        <w:pStyle w:val="3"/>
        <w:numPr>
          <w:ilvl w:val="0"/>
          <w:numId w:val="0"/>
        </w:numPr>
        <w:spacing w:line="360" w:lineRule="exact"/>
        <w:ind w:left="720" w:right="95"/>
        <w:jc w:val="both"/>
        <w:rPr>
          <w:rFonts w:ascii="Times New Roman" w:hAnsi="Times New Roman"/>
          <w:b w:val="0"/>
          <w:sz w:val="26"/>
          <w:szCs w:val="26"/>
        </w:rPr>
      </w:pPr>
    </w:p>
    <w:p w:rsidR="001E66DB"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ότι ο υπολογισμός των κεφαλαιακών απαιτήσεων της ενότητας κινδύνου αθέτησης του αντισυμβαλλομένου λαμβάνει υπόψη τη συνολική έκθεση της Εταιρείας σε κίνδυνο αντισυμβαλλομένου ως προς τον κάθε αντισυμβαλλόμενο.   </w:t>
      </w:r>
    </w:p>
    <w:p w:rsidR="00F17026" w:rsidRPr="00F17026" w:rsidRDefault="00F17026" w:rsidP="00F17026"/>
    <w:p w:rsidR="001E66DB" w:rsidRPr="00E820AE" w:rsidRDefault="001E66DB" w:rsidP="001E66DB">
      <w:pPr>
        <w:spacing w:line="360" w:lineRule="exact"/>
        <w:ind w:left="720" w:right="95"/>
        <w:rPr>
          <w:rFonts w:ascii="Times New Roman" w:hAnsi="Times New Roman"/>
          <w:szCs w:val="26"/>
        </w:rPr>
      </w:pPr>
    </w:p>
    <w:p w:rsidR="001E66DB" w:rsidRDefault="001E66DB" w:rsidP="001E66DB">
      <w:pPr>
        <w:pStyle w:val="2"/>
        <w:keepLines/>
        <w:numPr>
          <w:ilvl w:val="1"/>
          <w:numId w:val="4"/>
        </w:numPr>
        <w:tabs>
          <w:tab w:val="clear" w:pos="567"/>
          <w:tab w:val="clear" w:pos="851"/>
          <w:tab w:val="clear" w:pos="1560"/>
        </w:tabs>
        <w:spacing w:line="360" w:lineRule="exact"/>
        <w:ind w:right="95"/>
        <w:jc w:val="both"/>
        <w:rPr>
          <w:b/>
          <w:szCs w:val="26"/>
          <w:u w:val="none"/>
        </w:rPr>
      </w:pPr>
      <w:r w:rsidRPr="009D5255">
        <w:rPr>
          <w:b/>
          <w:szCs w:val="26"/>
          <w:u w:val="none"/>
        </w:rPr>
        <w:t>Κίνδυνος Ανάληψης Ασφαλίσεων Ζωής (</w:t>
      </w:r>
      <w:r w:rsidRPr="009D5255">
        <w:rPr>
          <w:b/>
          <w:szCs w:val="26"/>
          <w:u w:val="none"/>
          <w:lang w:val="en-US"/>
        </w:rPr>
        <w:t>Life</w:t>
      </w:r>
      <w:r w:rsidRPr="009D5255">
        <w:rPr>
          <w:b/>
          <w:szCs w:val="26"/>
          <w:u w:val="none"/>
        </w:rPr>
        <w:t xml:space="preserve"> </w:t>
      </w:r>
      <w:r w:rsidRPr="009D5255">
        <w:rPr>
          <w:b/>
          <w:szCs w:val="26"/>
          <w:u w:val="none"/>
          <w:lang w:val="en-US"/>
        </w:rPr>
        <w:t>Underwriting</w:t>
      </w:r>
      <w:r w:rsidRPr="009D5255">
        <w:rPr>
          <w:b/>
          <w:szCs w:val="26"/>
          <w:u w:val="none"/>
        </w:rPr>
        <w:t xml:space="preserve"> </w:t>
      </w:r>
      <w:r w:rsidRPr="009D5255">
        <w:rPr>
          <w:b/>
          <w:szCs w:val="26"/>
          <w:u w:val="none"/>
          <w:lang w:val="en-US"/>
        </w:rPr>
        <w:t>Risk</w:t>
      </w:r>
      <w:r w:rsidRPr="009D5255">
        <w:rPr>
          <w:b/>
          <w:szCs w:val="26"/>
          <w:u w:val="none"/>
        </w:rPr>
        <w:t>)</w:t>
      </w:r>
    </w:p>
    <w:p w:rsidR="001E66DB" w:rsidRPr="00114DC1" w:rsidRDefault="001E66DB" w:rsidP="001E66DB"/>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καταγεγραμμένης και </w:t>
      </w:r>
      <w:proofErr w:type="spellStart"/>
      <w:r w:rsidRPr="00E820AE">
        <w:rPr>
          <w:rFonts w:ascii="Times New Roman" w:hAnsi="Times New Roman"/>
          <w:b w:val="0"/>
          <w:sz w:val="26"/>
          <w:szCs w:val="26"/>
        </w:rPr>
        <w:t>επικαιροποιημένης</w:t>
      </w:r>
      <w:proofErr w:type="spellEnd"/>
      <w:r w:rsidRPr="00E820AE">
        <w:rPr>
          <w:rFonts w:ascii="Times New Roman" w:hAnsi="Times New Roman"/>
          <w:b w:val="0"/>
          <w:sz w:val="26"/>
          <w:szCs w:val="26"/>
        </w:rPr>
        <w:t xml:space="preserve"> μεθοδολογίας υπολογισμού του κινδύνου ανάληψης ασφαλίσεων ζωής.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χρήση παραμέτρων υπολογισμού και των συντελεστών συσχέτισης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του κινδύνου ανάληψης ασφαλίσεων ζωής σύμφωνα με το Πλαίσιο ΦΙΙ.</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Εξέταση της ύπαρξης τεκμηρίωσης σχετικά με την ορθότητα του υπολογισμού που γίνεται σε ομαδοποιημένο επίπεδο σε σχέση με το αποτέλεσμα του υπολογισμού σε επίπεδο μεμονωμένου συμβολαίου.</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Εξέταση ότι στον υπολογισμό του κινδύνου ακύρωσης συμπεριλαμβάνονται όλα τα δικαιώματα προαίρεσης των αντισυμβαλλομένων.</w:t>
      </w:r>
    </w:p>
    <w:p w:rsidR="001E66DB" w:rsidRPr="00E820AE" w:rsidRDefault="001E66DB" w:rsidP="001E66DB">
      <w:pPr>
        <w:pStyle w:val="a6"/>
        <w:spacing w:after="0" w:line="360" w:lineRule="exact"/>
        <w:ind w:left="1134" w:right="95"/>
        <w:jc w:val="both"/>
        <w:rPr>
          <w:rFonts w:ascii="Times New Roman" w:hAnsi="Times New Roman"/>
          <w:sz w:val="26"/>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τεκμηρίωσης αναφορικά με το ποια συμβόλαια/χαρτοφυλάκια υπόκεινται στις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-ενότητες κινδύνου θνησιμότητας, μακροβιότητας, ανικανότητας/νοσηρότητας, εξόδων, αναθεώρησης, ακύρωσης και καταστροφικού κινδύνου.</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lastRenderedPageBreak/>
        <w:t xml:space="preserve">Εξέταση του υπολογισμού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ανάληψης ασφαλίσεων ζωής για όλα τα συμβόλαια/χαρτοφυλάκια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διαδικασίας συμφωνίας των δεδομένων που χρησιμοποιούνται στους υπολογισμούς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ανάληψης ασφαλίσεων ζωής με τις πρωτογενείς βάσεις δεδομένων και τις χρηματοοικονομικές καταστάσεις της Εταιρείας.</w:t>
      </w:r>
    </w:p>
    <w:p w:rsidR="001E66DB" w:rsidRPr="009743CE" w:rsidRDefault="001E66DB" w:rsidP="001E66DB"/>
    <w:p w:rsidR="001E66DB" w:rsidRPr="00E820AE" w:rsidRDefault="001E66DB" w:rsidP="001E66DB">
      <w:pPr>
        <w:pStyle w:val="3"/>
        <w:numPr>
          <w:ilvl w:val="0"/>
          <w:numId w:val="0"/>
        </w:numPr>
        <w:spacing w:line="360" w:lineRule="exact"/>
        <w:ind w:left="720" w:right="95"/>
        <w:jc w:val="both"/>
        <w:rPr>
          <w:rFonts w:ascii="Times New Roman" w:hAnsi="Times New Roman"/>
          <w:b w:val="0"/>
          <w:sz w:val="26"/>
          <w:szCs w:val="26"/>
        </w:rPr>
      </w:pPr>
    </w:p>
    <w:p w:rsidR="001E66DB" w:rsidRPr="009D5255" w:rsidRDefault="001E66DB" w:rsidP="001E66DB">
      <w:pPr>
        <w:pStyle w:val="2"/>
        <w:keepLines/>
        <w:numPr>
          <w:ilvl w:val="1"/>
          <w:numId w:val="4"/>
        </w:numPr>
        <w:tabs>
          <w:tab w:val="clear" w:pos="567"/>
          <w:tab w:val="clear" w:pos="851"/>
          <w:tab w:val="clear" w:pos="1560"/>
        </w:tabs>
        <w:spacing w:line="360" w:lineRule="exact"/>
        <w:ind w:right="95"/>
        <w:jc w:val="both"/>
        <w:rPr>
          <w:b/>
          <w:szCs w:val="26"/>
          <w:u w:val="none"/>
        </w:rPr>
      </w:pPr>
      <w:r w:rsidRPr="009D5255">
        <w:rPr>
          <w:b/>
          <w:szCs w:val="26"/>
          <w:u w:val="none"/>
        </w:rPr>
        <w:t>Κίνδυνος Ανάληψης ασφαλίσεων κατά Ζημιών (</w:t>
      </w:r>
      <w:r w:rsidRPr="009D5255">
        <w:rPr>
          <w:b/>
          <w:szCs w:val="26"/>
          <w:u w:val="none"/>
          <w:lang w:val="en-US"/>
        </w:rPr>
        <w:t>Non</w:t>
      </w:r>
      <w:r w:rsidRPr="009D5255">
        <w:rPr>
          <w:b/>
          <w:szCs w:val="26"/>
          <w:u w:val="none"/>
        </w:rPr>
        <w:t>-</w:t>
      </w:r>
      <w:r w:rsidRPr="009D5255">
        <w:rPr>
          <w:b/>
          <w:szCs w:val="26"/>
          <w:u w:val="none"/>
          <w:lang w:val="en-US"/>
        </w:rPr>
        <w:t>Life</w:t>
      </w:r>
      <w:r w:rsidRPr="009D5255">
        <w:rPr>
          <w:b/>
          <w:szCs w:val="26"/>
          <w:u w:val="none"/>
        </w:rPr>
        <w:t xml:space="preserve"> </w:t>
      </w:r>
      <w:r w:rsidRPr="009D5255">
        <w:rPr>
          <w:b/>
          <w:szCs w:val="26"/>
          <w:u w:val="none"/>
          <w:lang w:val="en-US"/>
        </w:rPr>
        <w:t>Underwriting</w:t>
      </w:r>
      <w:r w:rsidRPr="009D5255">
        <w:rPr>
          <w:b/>
          <w:szCs w:val="26"/>
          <w:u w:val="none"/>
        </w:rPr>
        <w:t xml:space="preserve"> </w:t>
      </w:r>
      <w:r w:rsidRPr="009D5255">
        <w:rPr>
          <w:b/>
          <w:szCs w:val="26"/>
          <w:u w:val="none"/>
          <w:lang w:val="en-US"/>
        </w:rPr>
        <w:t>Risk</w:t>
      </w:r>
      <w:r w:rsidRPr="009D5255">
        <w:rPr>
          <w:b/>
          <w:szCs w:val="26"/>
          <w:u w:val="none"/>
        </w:rPr>
        <w: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καταγεγραμμένης και </w:t>
      </w:r>
      <w:proofErr w:type="spellStart"/>
      <w:r w:rsidRPr="00E820AE">
        <w:rPr>
          <w:rFonts w:ascii="Times New Roman" w:hAnsi="Times New Roman"/>
          <w:b w:val="0"/>
          <w:sz w:val="26"/>
          <w:szCs w:val="26"/>
        </w:rPr>
        <w:t>επικαιροποιημένης</w:t>
      </w:r>
      <w:proofErr w:type="spellEnd"/>
      <w:r w:rsidRPr="00E820AE">
        <w:rPr>
          <w:rFonts w:ascii="Times New Roman" w:hAnsi="Times New Roman"/>
          <w:b w:val="0"/>
          <w:sz w:val="26"/>
          <w:szCs w:val="26"/>
        </w:rPr>
        <w:t xml:space="preserve"> μεθοδολογίας υπολογισμού του κινδύνου ανάληψης ασφαλίσεων κατά ζημιών.</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χρήσης των παραμέτρων υπολογισμού και των συντελεστών συσχέτισης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που περιλαμβάνονται στον κίνδυνο ανάληψης ασφαλίσεων κατά ζημιών (κίνδυνος ασφάλιστρου και τεχνικών προβλέψεων,  κίνδυνος ακύρωσης και καταστροφικός κίνδυνος),  σύμφωνα με το Πλαίσιο ΦΙΙ.</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τεκμηρίωσης  αναφορικά με το ποια συμβόλαια/χαρτοφυλάκια υπόκεινται στην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-ενότητα κινδύνου ασφάλιστρου και τεχνικών προβλέψεων, κινδύνου ακύρωσης και καταστροφικού κινδύνου.</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του υπολογισμού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για όλα τα συμβόλαια/χαρτοφυλάκια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b w:val="0"/>
          <w:sz w:val="26"/>
          <w:szCs w:val="26"/>
        </w:rPr>
      </w:pPr>
      <w:r w:rsidRPr="00E820AE">
        <w:rPr>
          <w:rFonts w:ascii="Times New Roman" w:hAnsi="Times New Roman"/>
          <w:b w:val="0"/>
          <w:sz w:val="26"/>
          <w:szCs w:val="26"/>
        </w:rPr>
        <w:t xml:space="preserve">Εξέταση της ύπαρξης διαδικασίας συμφωνίας των δεδομένων  που χρησιμοποιούνται στους υπολογισμούς των κεφαλαιακών απαιτήσεων των </w:t>
      </w:r>
      <w:proofErr w:type="spellStart"/>
      <w:r w:rsidRPr="00E820AE">
        <w:rPr>
          <w:rFonts w:ascii="Times New Roman" w:hAnsi="Times New Roman"/>
          <w:b w:val="0"/>
          <w:sz w:val="26"/>
          <w:szCs w:val="26"/>
        </w:rPr>
        <w:t>υπο</w:t>
      </w:r>
      <w:proofErr w:type="spellEnd"/>
      <w:r w:rsidRPr="00E820AE">
        <w:rPr>
          <w:rFonts w:ascii="Times New Roman" w:hAnsi="Times New Roman"/>
          <w:b w:val="0"/>
          <w:sz w:val="26"/>
          <w:szCs w:val="26"/>
        </w:rPr>
        <w:t>-ενοτήτων κινδύνου ανάληψης ασφαλίσεων κατά ζημιών με τις πρωτογενείς βάσεις δεδομένων και τις χρηματοοικονομικές καταστάσεις της Εταιρείας.</w:t>
      </w:r>
    </w:p>
    <w:p w:rsidR="001E66DB" w:rsidRPr="00E820AE" w:rsidRDefault="001E66DB" w:rsidP="001E66DB">
      <w:pPr>
        <w:spacing w:line="360" w:lineRule="exact"/>
        <w:ind w:right="95"/>
        <w:rPr>
          <w:rFonts w:ascii="Times New Roman" w:hAnsi="Times New Roman"/>
          <w:szCs w:val="26"/>
        </w:rPr>
      </w:pPr>
    </w:p>
    <w:p w:rsidR="001E66DB" w:rsidRPr="009743CE" w:rsidRDefault="001E66DB" w:rsidP="001E66DB">
      <w:pPr>
        <w:pStyle w:val="2"/>
        <w:keepLines/>
        <w:numPr>
          <w:ilvl w:val="1"/>
          <w:numId w:val="4"/>
        </w:numPr>
        <w:tabs>
          <w:tab w:val="clear" w:pos="567"/>
          <w:tab w:val="clear" w:pos="851"/>
          <w:tab w:val="clear" w:pos="1560"/>
        </w:tabs>
        <w:spacing w:line="360" w:lineRule="exact"/>
        <w:ind w:right="95"/>
        <w:jc w:val="both"/>
        <w:rPr>
          <w:b/>
          <w:szCs w:val="26"/>
          <w:u w:val="none"/>
        </w:rPr>
      </w:pPr>
      <w:r w:rsidRPr="009743CE">
        <w:rPr>
          <w:b/>
          <w:szCs w:val="26"/>
          <w:u w:val="none"/>
        </w:rPr>
        <w:lastRenderedPageBreak/>
        <w:t>Κίνδυνος Ανάληψης Ασφαλίσεων Υγείας (</w:t>
      </w:r>
      <w:r w:rsidRPr="009743CE">
        <w:rPr>
          <w:b/>
          <w:szCs w:val="26"/>
          <w:u w:val="none"/>
          <w:lang w:val="en-US"/>
        </w:rPr>
        <w:t>Health</w:t>
      </w:r>
      <w:r w:rsidRPr="009743CE">
        <w:rPr>
          <w:b/>
          <w:szCs w:val="26"/>
          <w:u w:val="none"/>
        </w:rPr>
        <w:t xml:space="preserve"> </w:t>
      </w:r>
      <w:r w:rsidRPr="009743CE">
        <w:rPr>
          <w:b/>
          <w:szCs w:val="26"/>
          <w:u w:val="none"/>
          <w:lang w:val="en-US"/>
        </w:rPr>
        <w:t>Underwriting</w:t>
      </w:r>
      <w:r w:rsidRPr="009743CE">
        <w:rPr>
          <w:b/>
          <w:szCs w:val="26"/>
          <w:u w:val="none"/>
        </w:rPr>
        <w:t xml:space="preserve"> </w:t>
      </w:r>
      <w:r w:rsidRPr="009743CE">
        <w:rPr>
          <w:b/>
          <w:szCs w:val="26"/>
          <w:u w:val="none"/>
          <w:lang w:val="en-US"/>
        </w:rPr>
        <w:t>Risk</w:t>
      </w:r>
      <w:r w:rsidRPr="009743CE">
        <w:rPr>
          <w:b/>
          <w:szCs w:val="26"/>
          <w:u w:val="none"/>
        </w:rPr>
        <w:t>)</w:t>
      </w:r>
    </w:p>
    <w:p w:rsidR="001E66DB" w:rsidRPr="00E820AE" w:rsidRDefault="001E66DB" w:rsidP="001E66DB">
      <w:pPr>
        <w:spacing w:line="360" w:lineRule="exact"/>
        <w:ind w:right="95"/>
        <w:rPr>
          <w:rFonts w:ascii="Times New Roman" w:hAnsi="Times New Roman"/>
          <w:szCs w:val="26"/>
        </w:rPr>
      </w:pPr>
    </w:p>
    <w:p w:rsidR="001E66DB" w:rsidRPr="009D5255"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sz w:val="26"/>
          <w:szCs w:val="26"/>
        </w:rPr>
      </w:pPr>
      <w:r w:rsidRPr="009D5255">
        <w:rPr>
          <w:rFonts w:ascii="Times New Roman" w:hAnsi="Times New Roman"/>
          <w:sz w:val="26"/>
          <w:szCs w:val="26"/>
        </w:rPr>
        <w:t>Γενικά</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της ύπαρξης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του κινδύνου ανάληψης ασφαλίσεων υγείας.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szCs w:val="26"/>
          <w:u w:val="none"/>
        </w:rPr>
      </w:pPr>
      <w:r w:rsidRPr="00E820AE">
        <w:rPr>
          <w:szCs w:val="26"/>
          <w:u w:val="none"/>
        </w:rPr>
        <w:t>Εξέταση ότι η εφαρμοζόμενη μεθοδολογία υπολογισμού της κεφαλαιακής απαίτησης του κινδύνου ανάληψης ασφαλίσεων υγείας είναι σύμφωνη με το Πλαίσιο ΦΙΙ, αναφορικά με την:</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τεκμηρίωση των  </w:t>
      </w:r>
      <w:proofErr w:type="spellStart"/>
      <w:r w:rsidRPr="00E820AE">
        <w:rPr>
          <w:rFonts w:ascii="Times New Roman" w:hAnsi="Times New Roman"/>
          <w:sz w:val="26"/>
          <w:szCs w:val="26"/>
        </w:rPr>
        <w:t>υπο-ενότητων</w:t>
      </w:r>
      <w:proofErr w:type="spellEnd"/>
      <w:r w:rsidRPr="00E820AE">
        <w:rPr>
          <w:rFonts w:ascii="Times New Roman" w:hAnsi="Times New Roman"/>
          <w:sz w:val="26"/>
          <w:szCs w:val="26"/>
        </w:rPr>
        <w:t xml:space="preserve"> του κινδύνου ανάληψης ασφαλίσεων υγείας που θεωρούνται εφαρμοστέες.</w:t>
      </w:r>
    </w:p>
    <w:p w:rsidR="001E66DB"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χρήση των παραμέτρων υπολογισμού και των συντελεστών συσχέτισης των </w:t>
      </w:r>
      <w:proofErr w:type="spellStart"/>
      <w:r w:rsidRPr="00E820AE">
        <w:rPr>
          <w:rFonts w:ascii="Times New Roman" w:hAnsi="Times New Roman"/>
          <w:sz w:val="26"/>
          <w:szCs w:val="26"/>
        </w:rPr>
        <w:t>υπο</w:t>
      </w:r>
      <w:proofErr w:type="spellEnd"/>
      <w:r w:rsidRPr="00E820AE">
        <w:rPr>
          <w:rFonts w:ascii="Times New Roman" w:hAnsi="Times New Roman"/>
          <w:sz w:val="26"/>
          <w:szCs w:val="26"/>
        </w:rPr>
        <w:t xml:space="preserve">-ενοτήτων του κινδύνου ανάληψης ασφαλίσεων υγείας.   </w:t>
      </w:r>
    </w:p>
    <w:p w:rsidR="001E66DB" w:rsidRPr="00E820AE" w:rsidRDefault="001E66DB" w:rsidP="001E66DB">
      <w:pPr>
        <w:pStyle w:val="a6"/>
        <w:spacing w:after="0" w:line="360" w:lineRule="exact"/>
        <w:ind w:left="1418" w:right="95"/>
        <w:jc w:val="both"/>
        <w:rPr>
          <w:rFonts w:ascii="Times New Roman" w:hAnsi="Times New Roman"/>
          <w:sz w:val="26"/>
          <w:szCs w:val="26"/>
        </w:rPr>
      </w:pPr>
    </w:p>
    <w:p w:rsidR="001E66DB" w:rsidRPr="00E820AE" w:rsidRDefault="001E66DB" w:rsidP="001E66DB">
      <w:pPr>
        <w:spacing w:line="360" w:lineRule="exact"/>
        <w:ind w:right="95"/>
        <w:rPr>
          <w:rFonts w:ascii="Times New Roman" w:hAnsi="Times New Roman"/>
          <w:szCs w:val="26"/>
        </w:rPr>
      </w:pPr>
    </w:p>
    <w:p w:rsidR="001E66DB" w:rsidRPr="009D5255"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sz w:val="26"/>
          <w:szCs w:val="26"/>
        </w:rPr>
      </w:pPr>
      <w:proofErr w:type="spellStart"/>
      <w:r w:rsidRPr="009D5255">
        <w:rPr>
          <w:rFonts w:ascii="Times New Roman" w:hAnsi="Times New Roman"/>
          <w:sz w:val="26"/>
          <w:szCs w:val="26"/>
        </w:rPr>
        <w:t>Υπο</w:t>
      </w:r>
      <w:proofErr w:type="spellEnd"/>
      <w:r w:rsidRPr="009D5255">
        <w:rPr>
          <w:rFonts w:ascii="Times New Roman" w:hAnsi="Times New Roman"/>
          <w:sz w:val="26"/>
          <w:szCs w:val="26"/>
        </w:rPr>
        <w:t>-ενότητα κινδύνου ανάληψης ασφαλίσεων υγείας η διαχείριση των οποίων βασίζεται σε διαφορετική τεχνική βάση από εκείνη των ασφαλίσεων ζωής (</w:t>
      </w:r>
      <w:r w:rsidRPr="009D5255">
        <w:rPr>
          <w:rFonts w:ascii="Times New Roman" w:hAnsi="Times New Roman"/>
          <w:sz w:val="26"/>
          <w:szCs w:val="26"/>
          <w:lang w:val="en-US"/>
        </w:rPr>
        <w:t>Non</w:t>
      </w:r>
      <w:r w:rsidRPr="009D5255">
        <w:rPr>
          <w:rFonts w:ascii="Times New Roman" w:hAnsi="Times New Roman"/>
          <w:sz w:val="26"/>
          <w:szCs w:val="26"/>
        </w:rPr>
        <w:t xml:space="preserve"> </w:t>
      </w:r>
      <w:r w:rsidRPr="009D5255">
        <w:rPr>
          <w:rFonts w:ascii="Times New Roman" w:hAnsi="Times New Roman"/>
          <w:sz w:val="26"/>
          <w:szCs w:val="26"/>
          <w:lang w:val="en-US"/>
        </w:rPr>
        <w:t>Similar</w:t>
      </w:r>
      <w:r w:rsidRPr="009D5255">
        <w:rPr>
          <w:rFonts w:ascii="Times New Roman" w:hAnsi="Times New Roman"/>
          <w:sz w:val="26"/>
          <w:szCs w:val="26"/>
        </w:rPr>
        <w:t xml:space="preserve"> </w:t>
      </w:r>
      <w:r w:rsidRPr="009D5255">
        <w:rPr>
          <w:rFonts w:ascii="Times New Roman" w:hAnsi="Times New Roman"/>
          <w:sz w:val="26"/>
          <w:szCs w:val="26"/>
          <w:lang w:val="en-US"/>
        </w:rPr>
        <w:t>to</w:t>
      </w:r>
      <w:r w:rsidRPr="009D5255">
        <w:rPr>
          <w:rFonts w:ascii="Times New Roman" w:hAnsi="Times New Roman"/>
          <w:sz w:val="26"/>
          <w:szCs w:val="26"/>
        </w:rPr>
        <w:t xml:space="preserve"> </w:t>
      </w:r>
      <w:r w:rsidRPr="009D5255">
        <w:rPr>
          <w:rFonts w:ascii="Times New Roman" w:hAnsi="Times New Roman"/>
          <w:sz w:val="26"/>
          <w:szCs w:val="26"/>
          <w:lang w:val="en-US"/>
        </w:rPr>
        <w:t>Life</w:t>
      </w:r>
      <w:r w:rsidRPr="009D5255">
        <w:rPr>
          <w:rFonts w:ascii="Times New Roman" w:hAnsi="Times New Roman"/>
          <w:sz w:val="26"/>
          <w:szCs w:val="26"/>
        </w:rPr>
        <w:t xml:space="preserve"> – “</w:t>
      </w:r>
      <w:r w:rsidRPr="009D5255">
        <w:rPr>
          <w:rFonts w:ascii="Times New Roman" w:hAnsi="Times New Roman"/>
          <w:sz w:val="26"/>
          <w:szCs w:val="26"/>
          <w:lang w:val="en-US"/>
        </w:rPr>
        <w:t>NSLT</w:t>
      </w:r>
      <w:r w:rsidRPr="009D5255">
        <w:rPr>
          <w:rFonts w:ascii="Times New Roman" w:hAnsi="Times New Roman"/>
          <w:sz w:val="26"/>
          <w:szCs w:val="26"/>
        </w:rPr>
        <w:t>”).</w:t>
      </w:r>
    </w:p>
    <w:p w:rsidR="001E66DB" w:rsidRPr="00E820AE" w:rsidRDefault="001E66DB" w:rsidP="001E66DB">
      <w:pPr>
        <w:spacing w:line="360" w:lineRule="exact"/>
        <w:ind w:left="576"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Επισκόπηση της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των </w:t>
      </w:r>
      <w:proofErr w:type="spellStart"/>
      <w:r w:rsidRPr="00E820AE">
        <w:rPr>
          <w:szCs w:val="26"/>
          <w:u w:val="none"/>
        </w:rPr>
        <w:t>υπο</w:t>
      </w:r>
      <w:proofErr w:type="spellEnd"/>
      <w:r w:rsidRPr="00E820AE">
        <w:rPr>
          <w:szCs w:val="26"/>
          <w:u w:val="none"/>
        </w:rPr>
        <w:t xml:space="preserve">-ενοτήτων κινδύνου ανάληψης ασφαλίσεων υγείας  </w:t>
      </w:r>
      <w:r w:rsidRPr="00E820AE">
        <w:rPr>
          <w:szCs w:val="26"/>
          <w:u w:val="none"/>
          <w:lang w:val="en-US"/>
        </w:rPr>
        <w:t>NSLT</w:t>
      </w:r>
      <w:r w:rsidRPr="00E820AE">
        <w:rPr>
          <w:szCs w:val="26"/>
          <w:u w:val="none"/>
        </w:rPr>
        <w: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ότι η μεθοδολογία υπολογισμού της κεφαλαιακής απαίτησης του κινδύνου ανάληψης ασφαλίσεων υγείας </w:t>
      </w:r>
      <w:r w:rsidRPr="00E820AE">
        <w:rPr>
          <w:szCs w:val="26"/>
          <w:u w:val="none"/>
          <w:lang w:val="en-US"/>
        </w:rPr>
        <w:t>NSLT</w:t>
      </w:r>
      <w:r w:rsidRPr="00E820AE">
        <w:rPr>
          <w:szCs w:val="26"/>
          <w:u w:val="none"/>
        </w:rPr>
        <w:t>, που εφαρμόζεται είναι σύμφωνα με το Πλαίσιο ΦΙΙ, αναφορικά με την:</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τεκμηρίωση των </w:t>
      </w:r>
      <w:proofErr w:type="spellStart"/>
      <w:r w:rsidRPr="00E820AE">
        <w:rPr>
          <w:rFonts w:ascii="Times New Roman" w:hAnsi="Times New Roman"/>
          <w:sz w:val="26"/>
          <w:szCs w:val="26"/>
        </w:rPr>
        <w:t>υπο-ενότητων</w:t>
      </w:r>
      <w:proofErr w:type="spellEnd"/>
      <w:r w:rsidRPr="00E820AE">
        <w:rPr>
          <w:rFonts w:ascii="Times New Roman" w:hAnsi="Times New Roman"/>
          <w:sz w:val="26"/>
          <w:szCs w:val="26"/>
        </w:rPr>
        <w:t xml:space="preserve"> του κινδύνου ανάληψης ασφαλίσεων υγείας </w:t>
      </w:r>
      <w:r w:rsidRPr="00E820AE">
        <w:rPr>
          <w:rFonts w:ascii="Times New Roman" w:hAnsi="Times New Roman"/>
          <w:sz w:val="26"/>
          <w:szCs w:val="26"/>
          <w:lang w:val="en-US"/>
        </w:rPr>
        <w:t>NSLT</w:t>
      </w:r>
      <w:r w:rsidRPr="00E820AE">
        <w:rPr>
          <w:rFonts w:ascii="Times New Roman" w:hAnsi="Times New Roman"/>
          <w:sz w:val="26"/>
          <w:szCs w:val="26"/>
        </w:rPr>
        <w:t xml:space="preserve"> που θεωρούνται εφαρμοστέες.</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χρήση των παραμέτρων υπολογισμού και τους συντελεστών συσχέτισης των </w:t>
      </w:r>
      <w:proofErr w:type="spellStart"/>
      <w:r w:rsidRPr="00E820AE">
        <w:rPr>
          <w:rFonts w:ascii="Times New Roman" w:hAnsi="Times New Roman"/>
          <w:sz w:val="26"/>
          <w:szCs w:val="26"/>
        </w:rPr>
        <w:t>υπο</w:t>
      </w:r>
      <w:proofErr w:type="spellEnd"/>
      <w:r w:rsidRPr="00E820AE">
        <w:rPr>
          <w:rFonts w:ascii="Times New Roman" w:hAnsi="Times New Roman"/>
          <w:sz w:val="26"/>
          <w:szCs w:val="26"/>
        </w:rPr>
        <w:t xml:space="preserve">-ενοτήτων του κινδύνου ανάληψης ασφαλίσεων υγείας </w:t>
      </w:r>
      <w:r w:rsidRPr="00E820AE">
        <w:rPr>
          <w:rFonts w:ascii="Times New Roman" w:hAnsi="Times New Roman"/>
          <w:sz w:val="26"/>
          <w:szCs w:val="26"/>
          <w:lang w:val="en-US"/>
        </w:rPr>
        <w:t>NSLT</w:t>
      </w:r>
      <w:r w:rsidRPr="00E820AE">
        <w:rPr>
          <w:rFonts w:ascii="Times New Roman" w:hAnsi="Times New Roman"/>
          <w:sz w:val="26"/>
          <w:szCs w:val="26"/>
        </w:rPr>
        <w:t>.</w:t>
      </w:r>
    </w:p>
    <w:p w:rsidR="001E66DB" w:rsidRPr="00E820AE" w:rsidRDefault="001E66DB" w:rsidP="001E66DB">
      <w:pPr>
        <w:pStyle w:val="a6"/>
        <w:spacing w:after="0" w:line="360" w:lineRule="exact"/>
        <w:ind w:left="1276" w:right="95" w:hanging="1276"/>
        <w:jc w:val="both"/>
        <w:rPr>
          <w:rFonts w:ascii="Times New Roman" w:hAnsi="Times New Roman"/>
          <w:sz w:val="26"/>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lastRenderedPageBreak/>
        <w:t xml:space="preserve">Εξέταση της ύπαρξης τεκμηρίωσης  αναφορικά με το ποια συμβόλαια / χαρτοφυλάκια υπόκεινται στις </w:t>
      </w:r>
      <w:proofErr w:type="spellStart"/>
      <w:r w:rsidRPr="00E820AE">
        <w:rPr>
          <w:szCs w:val="26"/>
          <w:u w:val="none"/>
        </w:rPr>
        <w:t>υπο</w:t>
      </w:r>
      <w:proofErr w:type="spellEnd"/>
      <w:r w:rsidRPr="00E820AE">
        <w:rPr>
          <w:szCs w:val="26"/>
          <w:u w:val="none"/>
        </w:rPr>
        <w:t>-ενότητες κινδύνου ασφάλιστρου και τεχνικών προβλέψεων και κινδύνου ακύρωσης.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του υπολογισμού των κεφαλαιακών απαιτήσεων των </w:t>
      </w:r>
      <w:proofErr w:type="spellStart"/>
      <w:r w:rsidRPr="00E820AE">
        <w:rPr>
          <w:szCs w:val="26"/>
          <w:u w:val="none"/>
        </w:rPr>
        <w:t>υπο</w:t>
      </w:r>
      <w:proofErr w:type="spellEnd"/>
      <w:r w:rsidRPr="00E820AE">
        <w:rPr>
          <w:szCs w:val="26"/>
          <w:u w:val="none"/>
        </w:rPr>
        <w:t>-ενοτήτων κινδύνου ανάληψης ασφαλίσεων υγείας NSLT για όλα τα συμβόλαια / χαρτοφυλάκια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4"/>
        <w:keepLines/>
        <w:numPr>
          <w:ilvl w:val="3"/>
          <w:numId w:val="4"/>
        </w:numPr>
        <w:tabs>
          <w:tab w:val="clear" w:pos="567"/>
          <w:tab w:val="clear" w:pos="1560"/>
        </w:tabs>
        <w:spacing w:line="360" w:lineRule="exact"/>
        <w:ind w:right="95"/>
        <w:jc w:val="both"/>
        <w:rPr>
          <w:szCs w:val="26"/>
          <w:u w:val="none"/>
        </w:rPr>
      </w:pPr>
      <w:r w:rsidRPr="00E820AE">
        <w:rPr>
          <w:szCs w:val="26"/>
          <w:u w:val="none"/>
        </w:rPr>
        <w:t xml:space="preserve">Εξέταση της ύπαρξης διαδικασίας συμφωνίας των δεδομένων  που χρησιμοποιούνται στους υπολογισμούς των κεφαλαιακών απαιτήσεων των </w:t>
      </w:r>
      <w:proofErr w:type="spellStart"/>
      <w:r w:rsidRPr="00E820AE">
        <w:rPr>
          <w:szCs w:val="26"/>
          <w:u w:val="none"/>
        </w:rPr>
        <w:t>υπο</w:t>
      </w:r>
      <w:proofErr w:type="spellEnd"/>
      <w:r w:rsidRPr="00E820AE">
        <w:rPr>
          <w:szCs w:val="26"/>
          <w:u w:val="none"/>
        </w:rPr>
        <w:t>-ενοτήτων κινδύνου ανάληψης ασφαλίσεων υγείας NSLT, με τις πρωτογενείς βάσεις δεδομένων και τις χρηματοοικονομικές καταστάσεις της Εταιρείας.</w:t>
      </w:r>
    </w:p>
    <w:p w:rsidR="001E66DB" w:rsidRPr="009743CE" w:rsidRDefault="001E66DB" w:rsidP="001E66DB"/>
    <w:p w:rsidR="001E66DB" w:rsidRPr="00E820AE" w:rsidRDefault="001E66DB" w:rsidP="001E66DB">
      <w:pPr>
        <w:spacing w:line="360" w:lineRule="exact"/>
        <w:ind w:right="95"/>
        <w:rPr>
          <w:rFonts w:ascii="Times New Roman" w:hAnsi="Times New Roman"/>
          <w:szCs w:val="26"/>
        </w:rPr>
      </w:pPr>
    </w:p>
    <w:p w:rsidR="001E66DB" w:rsidRPr="009D5255"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sz w:val="26"/>
          <w:szCs w:val="26"/>
        </w:rPr>
      </w:pPr>
      <w:proofErr w:type="spellStart"/>
      <w:r w:rsidRPr="009D5255">
        <w:rPr>
          <w:rFonts w:ascii="Times New Roman" w:hAnsi="Times New Roman"/>
          <w:sz w:val="26"/>
          <w:szCs w:val="26"/>
        </w:rPr>
        <w:t>Υπο</w:t>
      </w:r>
      <w:proofErr w:type="spellEnd"/>
      <w:r w:rsidRPr="009D5255">
        <w:rPr>
          <w:rFonts w:ascii="Times New Roman" w:hAnsi="Times New Roman"/>
          <w:sz w:val="26"/>
          <w:szCs w:val="26"/>
        </w:rPr>
        <w:t>-ενότητα κινδύνου ανάληψης ασφαλίσεων υγείας η διαχείριση των οποίων βασίζεται σε τεχνική βάση παρόμοια με εκείνη των ασφαλίσεων ζωής (</w:t>
      </w:r>
      <w:r w:rsidRPr="009D5255">
        <w:rPr>
          <w:rFonts w:ascii="Times New Roman" w:hAnsi="Times New Roman"/>
          <w:sz w:val="26"/>
          <w:szCs w:val="26"/>
          <w:lang w:val="en-US"/>
        </w:rPr>
        <w:t>Similar</w:t>
      </w:r>
      <w:r w:rsidRPr="009D5255">
        <w:rPr>
          <w:rFonts w:ascii="Times New Roman" w:hAnsi="Times New Roman"/>
          <w:sz w:val="26"/>
          <w:szCs w:val="26"/>
        </w:rPr>
        <w:t xml:space="preserve"> </w:t>
      </w:r>
      <w:r w:rsidRPr="009D5255">
        <w:rPr>
          <w:rFonts w:ascii="Times New Roman" w:hAnsi="Times New Roman"/>
          <w:sz w:val="26"/>
          <w:szCs w:val="26"/>
          <w:lang w:val="en-US"/>
        </w:rPr>
        <w:t>to</w:t>
      </w:r>
      <w:r w:rsidRPr="009D5255">
        <w:rPr>
          <w:rFonts w:ascii="Times New Roman" w:hAnsi="Times New Roman"/>
          <w:sz w:val="26"/>
          <w:szCs w:val="26"/>
        </w:rPr>
        <w:t xml:space="preserve"> </w:t>
      </w:r>
      <w:r w:rsidRPr="009D5255">
        <w:rPr>
          <w:rFonts w:ascii="Times New Roman" w:hAnsi="Times New Roman"/>
          <w:sz w:val="26"/>
          <w:szCs w:val="26"/>
          <w:lang w:val="en-US"/>
        </w:rPr>
        <w:t>Life</w:t>
      </w:r>
      <w:r w:rsidRPr="009D5255">
        <w:rPr>
          <w:rFonts w:ascii="Times New Roman" w:hAnsi="Times New Roman"/>
          <w:sz w:val="26"/>
          <w:szCs w:val="26"/>
        </w:rPr>
        <w:t xml:space="preserve"> – “SLT”)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Επισκόπηση της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των </w:t>
      </w:r>
      <w:proofErr w:type="spellStart"/>
      <w:r w:rsidRPr="00E820AE">
        <w:rPr>
          <w:szCs w:val="26"/>
          <w:u w:val="none"/>
        </w:rPr>
        <w:t>υπο</w:t>
      </w:r>
      <w:proofErr w:type="spellEnd"/>
      <w:r w:rsidRPr="00E820AE">
        <w:rPr>
          <w:szCs w:val="26"/>
          <w:u w:val="none"/>
        </w:rPr>
        <w:t>-ενοτήτων κινδύνου ανάληψης ασφαλίσεων υγείας  SLT.</w:t>
      </w:r>
    </w:p>
    <w:p w:rsidR="001E66DB" w:rsidRPr="00E820AE" w:rsidRDefault="001E66DB" w:rsidP="001E66DB">
      <w:pPr>
        <w:spacing w:line="360" w:lineRule="exact"/>
        <w:ind w:right="95"/>
        <w:rPr>
          <w:rFonts w:ascii="Times New Roman" w:hAnsi="Times New Roman"/>
          <w:i/>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ότι η μεθοδολογία υπολογισμού της κεφαλαιακής απαίτησης του κινδύνου ανάληψης ασφαλίσεων υγείας </w:t>
      </w:r>
      <w:r w:rsidRPr="00E820AE">
        <w:rPr>
          <w:szCs w:val="26"/>
          <w:u w:val="none"/>
          <w:lang w:val="en-US"/>
        </w:rPr>
        <w:t>SLT</w:t>
      </w:r>
      <w:r w:rsidRPr="00E820AE">
        <w:rPr>
          <w:szCs w:val="26"/>
          <w:u w:val="none"/>
        </w:rPr>
        <w:t xml:space="preserve"> που εφαρμόζεται είναι σύμφωνα με το Πλαίσιο ΦΙΙ, αναφορικά με την:</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τεκμηρίωση των </w:t>
      </w:r>
      <w:proofErr w:type="spellStart"/>
      <w:r w:rsidRPr="00E820AE">
        <w:rPr>
          <w:rFonts w:ascii="Times New Roman" w:hAnsi="Times New Roman"/>
          <w:sz w:val="26"/>
          <w:szCs w:val="26"/>
        </w:rPr>
        <w:t>υπο-ενότητων</w:t>
      </w:r>
      <w:proofErr w:type="spellEnd"/>
      <w:r w:rsidRPr="00E820AE">
        <w:rPr>
          <w:rFonts w:ascii="Times New Roman" w:hAnsi="Times New Roman"/>
          <w:sz w:val="26"/>
          <w:szCs w:val="26"/>
        </w:rPr>
        <w:t xml:space="preserve"> του κινδύνου ανάληψης ασφαλίσεων υγείας </w:t>
      </w:r>
      <w:r w:rsidRPr="00E820AE">
        <w:rPr>
          <w:rFonts w:ascii="Times New Roman" w:hAnsi="Times New Roman"/>
          <w:sz w:val="26"/>
          <w:szCs w:val="26"/>
          <w:lang w:val="en-US"/>
        </w:rPr>
        <w:t>SLT</w:t>
      </w:r>
      <w:r w:rsidRPr="00E820AE">
        <w:rPr>
          <w:rFonts w:ascii="Times New Roman" w:hAnsi="Times New Roman"/>
          <w:sz w:val="26"/>
          <w:szCs w:val="26"/>
        </w:rPr>
        <w:t xml:space="preserve"> που θεωρούνται εφαρμοστέες.</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χρήση των παραμέτρων υπολογισμού και τους συντελεστών συσχέτισης των </w:t>
      </w:r>
      <w:proofErr w:type="spellStart"/>
      <w:r w:rsidRPr="00E820AE">
        <w:rPr>
          <w:rFonts w:ascii="Times New Roman" w:hAnsi="Times New Roman"/>
          <w:sz w:val="26"/>
          <w:szCs w:val="26"/>
        </w:rPr>
        <w:t>υπο</w:t>
      </w:r>
      <w:proofErr w:type="spellEnd"/>
      <w:r w:rsidRPr="00E820AE">
        <w:rPr>
          <w:rFonts w:ascii="Times New Roman" w:hAnsi="Times New Roman"/>
          <w:sz w:val="26"/>
          <w:szCs w:val="26"/>
        </w:rPr>
        <w:t xml:space="preserve">-ενοτήτων του κινδύνου ανάληψης ασφαλίσεων υγείας </w:t>
      </w:r>
      <w:r w:rsidRPr="00E820AE">
        <w:rPr>
          <w:rFonts w:ascii="Times New Roman" w:hAnsi="Times New Roman"/>
          <w:sz w:val="26"/>
          <w:szCs w:val="26"/>
          <w:lang w:val="en-US"/>
        </w:rPr>
        <w:t>SLT</w:t>
      </w:r>
      <w:r w:rsidRPr="00E820AE">
        <w:rPr>
          <w:rFonts w:ascii="Times New Roman" w:hAnsi="Times New Roman"/>
          <w:sz w:val="26"/>
          <w:szCs w:val="26"/>
        </w:rPr>
        <w:t xml:space="preserve">. </w:t>
      </w:r>
    </w:p>
    <w:p w:rsidR="001E66DB" w:rsidRPr="00E820AE" w:rsidRDefault="001E66DB" w:rsidP="001E66DB">
      <w:pPr>
        <w:pStyle w:val="a6"/>
        <w:spacing w:after="0" w:line="360" w:lineRule="exact"/>
        <w:ind w:left="1276" w:right="95"/>
        <w:jc w:val="both"/>
        <w:rPr>
          <w:rFonts w:ascii="Times New Roman" w:hAnsi="Times New Roman"/>
          <w:sz w:val="26"/>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της ύπαρξης τεκμηρίωσης αναφορικά με το ποια συμβόλαια/χαρτοφυλάκια υπόκεινται στις </w:t>
      </w:r>
      <w:proofErr w:type="spellStart"/>
      <w:r w:rsidRPr="00E820AE">
        <w:rPr>
          <w:szCs w:val="26"/>
          <w:u w:val="none"/>
        </w:rPr>
        <w:t>υπο</w:t>
      </w:r>
      <w:proofErr w:type="spellEnd"/>
      <w:r w:rsidRPr="00E820AE">
        <w:rPr>
          <w:szCs w:val="26"/>
          <w:u w:val="none"/>
        </w:rPr>
        <w:t>-ενότητες κινδύνου θνησιμότητας, μακροβιότητας, ανικανότητας/νοσηρότητας, εξόδων, αναθεώρησης, ακύρωσης.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lastRenderedPageBreak/>
        <w:t xml:space="preserve">Εξέταση του υπολογισμού των κεφαλαιακών αιτήσεων των </w:t>
      </w:r>
      <w:proofErr w:type="spellStart"/>
      <w:r w:rsidRPr="00E820AE">
        <w:rPr>
          <w:szCs w:val="26"/>
          <w:u w:val="none"/>
        </w:rPr>
        <w:t>υπο</w:t>
      </w:r>
      <w:proofErr w:type="spellEnd"/>
      <w:r w:rsidRPr="00E820AE">
        <w:rPr>
          <w:szCs w:val="26"/>
          <w:u w:val="none"/>
        </w:rPr>
        <w:t xml:space="preserve">-ενοτήτων κινδύνου ανάληψης ασφαλίσεων υγείας </w:t>
      </w:r>
      <w:r w:rsidRPr="00E820AE">
        <w:rPr>
          <w:szCs w:val="26"/>
          <w:u w:val="none"/>
          <w:lang w:val="en-US"/>
        </w:rPr>
        <w:t>SLT</w:t>
      </w:r>
      <w:r w:rsidRPr="00E820AE">
        <w:rPr>
          <w:szCs w:val="26"/>
          <w:u w:val="none"/>
        </w:rPr>
        <w:t xml:space="preserve"> για όλα τα συμβόλαια/χαρτοφυλάκια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4"/>
        <w:keepLines/>
        <w:numPr>
          <w:ilvl w:val="3"/>
          <w:numId w:val="4"/>
        </w:numPr>
        <w:tabs>
          <w:tab w:val="clear" w:pos="567"/>
          <w:tab w:val="clear" w:pos="1560"/>
        </w:tabs>
        <w:spacing w:line="360" w:lineRule="exact"/>
        <w:ind w:right="95"/>
        <w:jc w:val="both"/>
        <w:rPr>
          <w:szCs w:val="26"/>
          <w:u w:val="none"/>
        </w:rPr>
      </w:pPr>
      <w:r w:rsidRPr="00E820AE">
        <w:rPr>
          <w:szCs w:val="26"/>
          <w:u w:val="none"/>
        </w:rPr>
        <w:t xml:space="preserve">Εξέταση της ύπαρξης διαδικασίας συμφωνίας των δεδομένων  που χρησιμοποιούνται στους υπολογισμούς των κεφαλαιακών απαιτήσεων των </w:t>
      </w:r>
      <w:proofErr w:type="spellStart"/>
      <w:r w:rsidRPr="00E820AE">
        <w:rPr>
          <w:szCs w:val="26"/>
          <w:u w:val="none"/>
        </w:rPr>
        <w:t>υπο</w:t>
      </w:r>
      <w:proofErr w:type="spellEnd"/>
      <w:r w:rsidRPr="00E820AE">
        <w:rPr>
          <w:szCs w:val="26"/>
          <w:u w:val="none"/>
        </w:rPr>
        <w:t xml:space="preserve">-ενοτήτων κινδύνου ανάληψης ασφαλίσεων υγείας </w:t>
      </w:r>
      <w:r w:rsidRPr="00E820AE">
        <w:rPr>
          <w:szCs w:val="26"/>
          <w:u w:val="none"/>
          <w:lang w:val="en-US"/>
        </w:rPr>
        <w:t>SLT</w:t>
      </w:r>
      <w:r w:rsidRPr="00E820AE">
        <w:rPr>
          <w:szCs w:val="26"/>
          <w:u w:val="none"/>
        </w:rPr>
        <w:t>, με τις πρωτογενείς βάσεις δεδομένων και τις χρηματοοικονομικές καταστάσεις της Εταιρείας.</w:t>
      </w:r>
    </w:p>
    <w:p w:rsidR="00F17026" w:rsidRPr="00F17026" w:rsidRDefault="00F17026" w:rsidP="00F17026"/>
    <w:p w:rsidR="001E66DB" w:rsidRPr="00E820AE" w:rsidRDefault="001E66DB" w:rsidP="001E66DB">
      <w:pPr>
        <w:spacing w:line="360" w:lineRule="exact"/>
        <w:ind w:left="720" w:right="95" w:hanging="720"/>
        <w:rPr>
          <w:rFonts w:ascii="Times New Roman" w:hAnsi="Times New Roman"/>
          <w:szCs w:val="26"/>
        </w:rPr>
      </w:pPr>
    </w:p>
    <w:p w:rsidR="001E66DB" w:rsidRPr="009D5255" w:rsidRDefault="001E66DB" w:rsidP="001E66DB">
      <w:pPr>
        <w:pStyle w:val="3"/>
        <w:keepLines/>
        <w:numPr>
          <w:ilvl w:val="2"/>
          <w:numId w:val="4"/>
        </w:numPr>
        <w:tabs>
          <w:tab w:val="clear" w:pos="567"/>
          <w:tab w:val="clear" w:pos="851"/>
          <w:tab w:val="clear" w:pos="1560"/>
        </w:tabs>
        <w:spacing w:line="360" w:lineRule="exact"/>
        <w:ind w:right="95"/>
        <w:jc w:val="both"/>
        <w:rPr>
          <w:rFonts w:ascii="Times New Roman" w:hAnsi="Times New Roman"/>
          <w:sz w:val="26"/>
          <w:szCs w:val="26"/>
        </w:rPr>
      </w:pPr>
      <w:proofErr w:type="spellStart"/>
      <w:r w:rsidRPr="009D5255">
        <w:rPr>
          <w:rFonts w:ascii="Times New Roman" w:hAnsi="Times New Roman"/>
          <w:sz w:val="26"/>
          <w:szCs w:val="26"/>
        </w:rPr>
        <w:t>Υπο</w:t>
      </w:r>
      <w:proofErr w:type="spellEnd"/>
      <w:r w:rsidRPr="009D5255">
        <w:rPr>
          <w:rFonts w:ascii="Times New Roman" w:hAnsi="Times New Roman"/>
          <w:sz w:val="26"/>
          <w:szCs w:val="26"/>
        </w:rPr>
        <w:t>-ενότητα καταστροφικού κινδύνου (</w:t>
      </w:r>
      <w:r w:rsidRPr="009D5255">
        <w:rPr>
          <w:rFonts w:ascii="Times New Roman" w:hAnsi="Times New Roman"/>
          <w:sz w:val="26"/>
          <w:szCs w:val="26"/>
          <w:lang w:val="en-US"/>
        </w:rPr>
        <w:t>Catastrophe</w:t>
      </w:r>
      <w:r w:rsidRPr="009D5255">
        <w:rPr>
          <w:rFonts w:ascii="Times New Roman" w:hAnsi="Times New Roman"/>
          <w:sz w:val="26"/>
          <w:szCs w:val="26"/>
        </w:rPr>
        <w:t xml:space="preserve"> </w:t>
      </w:r>
      <w:r w:rsidRPr="009D5255">
        <w:rPr>
          <w:rFonts w:ascii="Times New Roman" w:hAnsi="Times New Roman"/>
          <w:sz w:val="26"/>
          <w:szCs w:val="26"/>
          <w:lang w:val="en-US"/>
        </w:rPr>
        <w:t>Risk</w:t>
      </w:r>
      <w:r w:rsidRPr="009D5255">
        <w:rPr>
          <w:rFonts w:ascii="Times New Roman" w:hAnsi="Times New Roman"/>
          <w:sz w:val="26"/>
          <w:szCs w:val="26"/>
        </w:rPr>
        <w: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Επισκόπηση της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της </w:t>
      </w:r>
      <w:proofErr w:type="spellStart"/>
      <w:r w:rsidRPr="00E820AE">
        <w:rPr>
          <w:szCs w:val="26"/>
          <w:u w:val="none"/>
        </w:rPr>
        <w:t>υπο</w:t>
      </w:r>
      <w:proofErr w:type="spellEnd"/>
      <w:r w:rsidRPr="00E820AE">
        <w:rPr>
          <w:szCs w:val="26"/>
          <w:u w:val="none"/>
        </w:rPr>
        <w:t>-ενότητας καταστροφικού κινδύνου υγείας.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Εξέταση ότι η μεθοδολογία υπολογισμού της κεφαλαιακής απαίτησης του καταστροφικού κινδύνου υγείας που εφαρμόζεται είναι σύμφωνα με το Πλαίσιο ΦΙΙ, αναφορικά με την:</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τεκμηρίωση των </w:t>
      </w:r>
      <w:proofErr w:type="spellStart"/>
      <w:r w:rsidRPr="00E820AE">
        <w:rPr>
          <w:rFonts w:ascii="Times New Roman" w:hAnsi="Times New Roman"/>
          <w:sz w:val="26"/>
          <w:szCs w:val="26"/>
        </w:rPr>
        <w:t>υπο-ενότητων</w:t>
      </w:r>
      <w:proofErr w:type="spellEnd"/>
      <w:r w:rsidRPr="00E820AE">
        <w:rPr>
          <w:rFonts w:ascii="Times New Roman" w:hAnsi="Times New Roman"/>
          <w:sz w:val="26"/>
          <w:szCs w:val="26"/>
        </w:rPr>
        <w:t xml:space="preserve"> του καταστροφικού κινδύνου υγείας που θεωρούνται εφαρμοστέες.</w:t>
      </w:r>
    </w:p>
    <w:p w:rsidR="001E66DB" w:rsidRPr="00E820AE" w:rsidRDefault="001E66DB" w:rsidP="001E66DB">
      <w:pPr>
        <w:pStyle w:val="a6"/>
        <w:numPr>
          <w:ilvl w:val="0"/>
          <w:numId w:val="3"/>
        </w:numPr>
        <w:spacing w:after="0" w:line="360" w:lineRule="exact"/>
        <w:ind w:left="1418" w:right="95"/>
        <w:jc w:val="both"/>
        <w:rPr>
          <w:rFonts w:ascii="Times New Roman" w:hAnsi="Times New Roman"/>
          <w:sz w:val="26"/>
          <w:szCs w:val="26"/>
        </w:rPr>
      </w:pPr>
      <w:r w:rsidRPr="00E820AE">
        <w:rPr>
          <w:rFonts w:ascii="Times New Roman" w:hAnsi="Times New Roman"/>
          <w:sz w:val="26"/>
          <w:szCs w:val="26"/>
        </w:rPr>
        <w:t xml:space="preserve">χρήση των παραμέτρων υπολογισμού και τους συντελεστών συσχέτισης των </w:t>
      </w:r>
      <w:proofErr w:type="spellStart"/>
      <w:r w:rsidRPr="00E820AE">
        <w:rPr>
          <w:rFonts w:ascii="Times New Roman" w:hAnsi="Times New Roman"/>
          <w:sz w:val="26"/>
          <w:szCs w:val="26"/>
        </w:rPr>
        <w:t>υπο</w:t>
      </w:r>
      <w:proofErr w:type="spellEnd"/>
      <w:r w:rsidRPr="00E820AE">
        <w:rPr>
          <w:rFonts w:ascii="Times New Roman" w:hAnsi="Times New Roman"/>
          <w:sz w:val="26"/>
          <w:szCs w:val="26"/>
        </w:rPr>
        <w:t>-ενοτήτων του</w:t>
      </w:r>
      <w:r>
        <w:rPr>
          <w:rFonts w:ascii="Times New Roman" w:hAnsi="Times New Roman"/>
          <w:sz w:val="26"/>
          <w:szCs w:val="26"/>
        </w:rPr>
        <w:t xml:space="preserve"> καταστροφικού κινδύνου υγείας.</w:t>
      </w:r>
      <w:r w:rsidRPr="00E820AE">
        <w:rPr>
          <w:rFonts w:ascii="Times New Roman" w:hAnsi="Times New Roman"/>
          <w:sz w:val="26"/>
          <w:szCs w:val="26"/>
        </w:rPr>
        <w:t xml:space="preserve"> </w:t>
      </w:r>
    </w:p>
    <w:p w:rsidR="001E66DB" w:rsidRPr="00E820AE" w:rsidRDefault="001E66DB" w:rsidP="001E66DB">
      <w:pPr>
        <w:pStyle w:val="a6"/>
        <w:spacing w:after="0" w:line="360" w:lineRule="exact"/>
        <w:ind w:left="1276" w:right="95"/>
        <w:jc w:val="both"/>
        <w:rPr>
          <w:rFonts w:ascii="Times New Roman" w:hAnsi="Times New Roman"/>
          <w:sz w:val="26"/>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της ύπαρξης τεκμηρίωσης αναφορικά με το ποια συμβόλαια/χαρτοφυλάκια υπόκεινται στις </w:t>
      </w:r>
      <w:proofErr w:type="spellStart"/>
      <w:r w:rsidRPr="00E820AE">
        <w:rPr>
          <w:szCs w:val="26"/>
          <w:u w:val="none"/>
        </w:rPr>
        <w:t>υπο</w:t>
      </w:r>
      <w:proofErr w:type="spellEnd"/>
      <w:r w:rsidRPr="00E820AE">
        <w:rPr>
          <w:szCs w:val="26"/>
          <w:u w:val="none"/>
        </w:rPr>
        <w:t>-ενότητες κινδύνου μαζικού ατυχήματος, συγκέντρωσης ατυχημάτων και πανδημίας.</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4"/>
        <w:keepLines/>
        <w:numPr>
          <w:ilvl w:val="3"/>
          <w:numId w:val="4"/>
        </w:numPr>
        <w:tabs>
          <w:tab w:val="clear" w:pos="567"/>
          <w:tab w:val="clear" w:pos="1560"/>
        </w:tabs>
        <w:spacing w:line="360" w:lineRule="exact"/>
        <w:ind w:right="95"/>
        <w:jc w:val="both"/>
        <w:rPr>
          <w:i/>
          <w:szCs w:val="26"/>
          <w:u w:val="none"/>
        </w:rPr>
      </w:pPr>
      <w:r w:rsidRPr="00E820AE">
        <w:rPr>
          <w:szCs w:val="26"/>
          <w:u w:val="none"/>
        </w:rPr>
        <w:t xml:space="preserve">Εξέταση του υπολογισμού των κεφαλαιακών απαιτήσεων των </w:t>
      </w:r>
      <w:proofErr w:type="spellStart"/>
      <w:r w:rsidRPr="00E820AE">
        <w:rPr>
          <w:szCs w:val="26"/>
          <w:u w:val="none"/>
        </w:rPr>
        <w:t>υπο</w:t>
      </w:r>
      <w:proofErr w:type="spellEnd"/>
      <w:r w:rsidRPr="00E820AE">
        <w:rPr>
          <w:szCs w:val="26"/>
          <w:u w:val="none"/>
        </w:rPr>
        <w:t>-ενοτήτων καταστροφικού κινδύνου υγείας για όλα τα συμβόλαια/χαρτοφυλάκια που υπόκεινται σε αυτές.</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4"/>
        <w:keepLines/>
        <w:numPr>
          <w:ilvl w:val="3"/>
          <w:numId w:val="4"/>
        </w:numPr>
        <w:tabs>
          <w:tab w:val="clear" w:pos="567"/>
          <w:tab w:val="clear" w:pos="1560"/>
        </w:tabs>
        <w:spacing w:line="360" w:lineRule="exact"/>
        <w:ind w:right="95"/>
        <w:jc w:val="both"/>
        <w:rPr>
          <w:szCs w:val="26"/>
          <w:u w:val="none"/>
        </w:rPr>
      </w:pPr>
      <w:r w:rsidRPr="00E820AE">
        <w:rPr>
          <w:szCs w:val="26"/>
          <w:u w:val="none"/>
        </w:rPr>
        <w:lastRenderedPageBreak/>
        <w:t xml:space="preserve">Εξέταση της ύπαρξης διαδικασίας συμφωνίας των δεδομένων  που χρησιμοποιούνται στους υπολογισμούς των κεφαλαιακών απαιτήσεων των </w:t>
      </w:r>
      <w:proofErr w:type="spellStart"/>
      <w:r w:rsidRPr="00E820AE">
        <w:rPr>
          <w:szCs w:val="26"/>
          <w:u w:val="none"/>
        </w:rPr>
        <w:t>υπο</w:t>
      </w:r>
      <w:proofErr w:type="spellEnd"/>
      <w:r w:rsidRPr="00E820AE">
        <w:rPr>
          <w:szCs w:val="26"/>
          <w:u w:val="none"/>
        </w:rPr>
        <w:t>-ενοτήτων καταστροφικού κινδύνου υγείας, με τις πρωτογενείς βάσεις δεδομένων και τις χρηματοοικονομικές καταστάσεις της Εταιρείας.</w:t>
      </w:r>
    </w:p>
    <w:p w:rsidR="001E66DB" w:rsidRPr="00114DC1" w:rsidRDefault="001E66DB" w:rsidP="001E66DB"/>
    <w:p w:rsidR="001E66DB" w:rsidRPr="005956E9" w:rsidRDefault="001E66DB" w:rsidP="001E66DB"/>
    <w:p w:rsidR="001E66DB" w:rsidRPr="005956E9" w:rsidRDefault="001E66DB" w:rsidP="001E66DB">
      <w:pPr>
        <w:pStyle w:val="1"/>
        <w:keepLines/>
        <w:numPr>
          <w:ilvl w:val="0"/>
          <w:numId w:val="4"/>
        </w:numPr>
        <w:tabs>
          <w:tab w:val="clear" w:pos="568"/>
          <w:tab w:val="clear" w:pos="1134"/>
        </w:tabs>
        <w:spacing w:line="360" w:lineRule="exact"/>
        <w:ind w:right="95"/>
        <w:jc w:val="both"/>
        <w:rPr>
          <w:i w:val="0"/>
          <w:szCs w:val="26"/>
        </w:rPr>
      </w:pPr>
      <w:r w:rsidRPr="005956E9">
        <w:rPr>
          <w:i w:val="0"/>
          <w:szCs w:val="26"/>
        </w:rPr>
        <w:t>Λειτουργικός Κίνδυνος (</w:t>
      </w:r>
      <w:proofErr w:type="spellStart"/>
      <w:r w:rsidRPr="005956E9">
        <w:rPr>
          <w:i w:val="0"/>
          <w:szCs w:val="26"/>
        </w:rPr>
        <w:t>Operational</w:t>
      </w:r>
      <w:proofErr w:type="spellEnd"/>
      <w:r w:rsidRPr="005956E9">
        <w:rPr>
          <w:i w:val="0"/>
          <w:szCs w:val="26"/>
        </w:rPr>
        <w:t xml:space="preserve"> </w:t>
      </w:r>
      <w:proofErr w:type="spellStart"/>
      <w:r w:rsidRPr="005956E9">
        <w:rPr>
          <w:i w:val="0"/>
          <w:szCs w:val="26"/>
        </w:rPr>
        <w:t>Risk</w:t>
      </w:r>
      <w:proofErr w:type="spellEnd"/>
      <w:r w:rsidRPr="005956E9">
        <w:rPr>
          <w:i w:val="0"/>
          <w:szCs w:val="26"/>
        </w:rPr>
        <w:t>)</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E820AE">
        <w:rPr>
          <w:szCs w:val="26"/>
          <w:u w:val="none"/>
        </w:rPr>
        <w:t xml:space="preserve">Εξέταση της ύπαρξης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της ενότητας λειτουργικού κινδύνου.</w:t>
      </w:r>
    </w:p>
    <w:p w:rsidR="001E66DB" w:rsidRPr="00E820AE" w:rsidRDefault="001E66DB" w:rsidP="001E66DB">
      <w:pPr>
        <w:spacing w:line="360" w:lineRule="exact"/>
        <w:ind w:right="95"/>
        <w:rPr>
          <w:rFonts w:ascii="Times New Roman" w:hAnsi="Times New Roman"/>
          <w:szCs w:val="26"/>
        </w:rPr>
      </w:pPr>
    </w:p>
    <w:p w:rsidR="001E66DB" w:rsidRPr="00E820AE"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E820AE">
        <w:rPr>
          <w:szCs w:val="26"/>
          <w:u w:val="none"/>
        </w:rPr>
        <w:t>Εξέταση ότι η μεθοδολογία και οι παράμετροι υπολογισμού της κεφαλαιακής απαίτησης για τον λειτουργικό κίνδυνο που εφαρμόζονται είναι σύμφωνα με το Πλαίσιο ΦΙΙ.</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E820AE">
        <w:rPr>
          <w:szCs w:val="26"/>
          <w:u w:val="none"/>
        </w:rPr>
        <w:t>Εξέταση της ύπαρξης διαδικασίας συμφωνίας των δεδομένων που χρησιμοποιούνται στον υπολογισμό της κεφαλαιακής απαίτησης για τον λειτουργικό κίνδυνο, με τις πρωτογενείς βάσεις δεδομένων και τις χρηματοοικονομικές καταστάσεις της Εταιρείας.</w:t>
      </w:r>
    </w:p>
    <w:p w:rsidR="001E66DB" w:rsidRPr="009743CE" w:rsidRDefault="001E66DB" w:rsidP="001E66DB"/>
    <w:p w:rsidR="001E66DB" w:rsidRPr="005956E9" w:rsidRDefault="001E66DB" w:rsidP="001E66DB"/>
    <w:p w:rsidR="001E66DB" w:rsidRPr="005956E9" w:rsidRDefault="001E66DB" w:rsidP="001E66DB">
      <w:pPr>
        <w:pStyle w:val="1"/>
        <w:keepLines/>
        <w:numPr>
          <w:ilvl w:val="0"/>
          <w:numId w:val="4"/>
        </w:numPr>
        <w:tabs>
          <w:tab w:val="clear" w:pos="568"/>
          <w:tab w:val="clear" w:pos="1134"/>
        </w:tabs>
        <w:spacing w:line="360" w:lineRule="exact"/>
        <w:ind w:right="95"/>
        <w:jc w:val="both"/>
        <w:rPr>
          <w:i w:val="0"/>
          <w:szCs w:val="26"/>
        </w:rPr>
      </w:pPr>
      <w:r w:rsidRPr="005956E9">
        <w:rPr>
          <w:i w:val="0"/>
          <w:szCs w:val="26"/>
        </w:rPr>
        <w:t>Προσαρμογή για την ικανότητα απορρόφησης ζημιών των τεχνικών προβλέψεων και των αναβαλλόμενων φόρων (</w:t>
      </w:r>
      <w:r w:rsidRPr="005956E9">
        <w:rPr>
          <w:i w:val="0"/>
          <w:szCs w:val="26"/>
          <w:lang w:val="en-US"/>
        </w:rPr>
        <w:t>Loss</w:t>
      </w:r>
      <w:r w:rsidRPr="005956E9">
        <w:rPr>
          <w:i w:val="0"/>
          <w:szCs w:val="26"/>
        </w:rPr>
        <w:t xml:space="preserve"> </w:t>
      </w:r>
      <w:r w:rsidRPr="005956E9">
        <w:rPr>
          <w:i w:val="0"/>
          <w:szCs w:val="26"/>
          <w:lang w:val="en-US"/>
        </w:rPr>
        <w:t>absorbing</w:t>
      </w:r>
      <w:r w:rsidRPr="005956E9">
        <w:rPr>
          <w:i w:val="0"/>
          <w:szCs w:val="26"/>
        </w:rPr>
        <w:t xml:space="preserve"> </w:t>
      </w:r>
      <w:r w:rsidRPr="005956E9">
        <w:rPr>
          <w:i w:val="0"/>
          <w:szCs w:val="26"/>
          <w:lang w:val="en-US"/>
        </w:rPr>
        <w:t>Capacity</w:t>
      </w:r>
      <w:r w:rsidRPr="005956E9">
        <w:rPr>
          <w:i w:val="0"/>
          <w:szCs w:val="26"/>
        </w:rPr>
        <w:t xml:space="preserve"> – “</w:t>
      </w:r>
      <w:r w:rsidRPr="005956E9">
        <w:rPr>
          <w:i w:val="0"/>
          <w:szCs w:val="26"/>
          <w:lang w:val="en-US"/>
        </w:rPr>
        <w:t>LAC</w:t>
      </w:r>
      <w:r w:rsidRPr="005956E9">
        <w:rPr>
          <w:i w:val="0"/>
          <w:szCs w:val="26"/>
        </w:rPr>
        <w:t>”)</w:t>
      </w:r>
      <w:r w:rsidRPr="005956E9">
        <w:rPr>
          <w:i w:val="0"/>
          <w:szCs w:val="26"/>
        </w:rPr>
        <w:br/>
      </w:r>
    </w:p>
    <w:p w:rsidR="001E66DB"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E820AE">
        <w:rPr>
          <w:szCs w:val="26"/>
          <w:u w:val="none"/>
        </w:rPr>
        <w:t xml:space="preserve">Εξέταση της ύπαρξης καταγεγραμμένης και </w:t>
      </w:r>
      <w:proofErr w:type="spellStart"/>
      <w:r w:rsidRPr="00E820AE">
        <w:rPr>
          <w:szCs w:val="26"/>
          <w:u w:val="none"/>
        </w:rPr>
        <w:t>επικαιροποιημένης</w:t>
      </w:r>
      <w:proofErr w:type="spellEnd"/>
      <w:r w:rsidRPr="00E820AE">
        <w:rPr>
          <w:szCs w:val="26"/>
          <w:u w:val="none"/>
        </w:rPr>
        <w:t xml:space="preserve"> μεθοδολογίας υπολογισμού σχετικά με την προσαρμογή για την ικανότητα απορρόφησης ζημιών των τεχνικών προβλέψεων και των αναβαλλόμενων φόρων.</w:t>
      </w:r>
    </w:p>
    <w:p w:rsidR="001E66DB" w:rsidRPr="00AD5529" w:rsidRDefault="001E66DB" w:rsidP="001E66DB"/>
    <w:p w:rsidR="001E66DB"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114DC1">
        <w:rPr>
          <w:szCs w:val="26"/>
          <w:u w:val="none"/>
        </w:rPr>
        <w:t>Συζήτηση με την διοίκηση σχετικά με την ύπαρξη γραπτής επικοινωνίας με την Τράπεζα της Ελλάδος σχετικά με την προσαρμογή για την ικανότητα απορρόφησης ζημιών των τεχνικών προβλέψεων και των αναβαλλόμενων φόρων.</w:t>
      </w:r>
    </w:p>
    <w:p w:rsidR="001E66DB" w:rsidRPr="00AD5529" w:rsidRDefault="001E66DB" w:rsidP="001E66DB"/>
    <w:p w:rsidR="001E66DB" w:rsidRDefault="001E66DB" w:rsidP="001E66DB">
      <w:pPr>
        <w:spacing w:line="360" w:lineRule="exact"/>
        <w:ind w:right="95"/>
        <w:rPr>
          <w:rFonts w:ascii="Times New Roman" w:hAnsi="Times New Roman"/>
          <w:szCs w:val="26"/>
        </w:rPr>
      </w:pPr>
    </w:p>
    <w:p w:rsidR="001E66DB" w:rsidRPr="00114DC1" w:rsidRDefault="001E66DB" w:rsidP="001E66DB">
      <w:pPr>
        <w:spacing w:line="360" w:lineRule="exact"/>
        <w:ind w:right="95"/>
        <w:rPr>
          <w:rFonts w:ascii="Times New Roman" w:hAnsi="Times New Roman"/>
          <w:szCs w:val="26"/>
        </w:rPr>
      </w:pPr>
    </w:p>
    <w:p w:rsidR="001E66DB" w:rsidRDefault="001E66DB" w:rsidP="001E66DB">
      <w:pPr>
        <w:pStyle w:val="2"/>
        <w:keepLines/>
        <w:numPr>
          <w:ilvl w:val="1"/>
          <w:numId w:val="4"/>
        </w:numPr>
        <w:tabs>
          <w:tab w:val="clear" w:pos="567"/>
          <w:tab w:val="clear" w:pos="851"/>
          <w:tab w:val="clear" w:pos="1560"/>
        </w:tabs>
        <w:spacing w:line="360" w:lineRule="exact"/>
        <w:ind w:right="95"/>
        <w:jc w:val="both"/>
        <w:rPr>
          <w:szCs w:val="26"/>
          <w:u w:val="none"/>
        </w:rPr>
      </w:pPr>
      <w:r w:rsidRPr="00E820AE">
        <w:rPr>
          <w:szCs w:val="26"/>
          <w:u w:val="none"/>
        </w:rPr>
        <w:lastRenderedPageBreak/>
        <w:t>Εξέταση της ύπαρξης εγκεκριμένης από τη διοίκηση μελέτης μελλοντικής κερδοφορίας σχετικά με την ικανότητα απορρόφησης ζημιών των τεχνικών προβλέψεων και των αναβαλλόμενων φόρων (</w:t>
      </w:r>
      <w:r w:rsidRPr="00E820AE">
        <w:rPr>
          <w:szCs w:val="26"/>
          <w:u w:val="none"/>
          <w:lang w:val="en-US"/>
        </w:rPr>
        <w:t>LAC</w:t>
      </w:r>
      <w:r w:rsidRPr="00E820AE">
        <w:rPr>
          <w:szCs w:val="26"/>
          <w:u w:val="none"/>
        </w:rPr>
        <w:t>), σύμφωνα με την καταγεγραμμένη μεθοδολογία.</w:t>
      </w:r>
    </w:p>
    <w:p w:rsidR="00F17026" w:rsidRPr="00F17026" w:rsidRDefault="00F17026" w:rsidP="00F17026"/>
    <w:p w:rsidR="001E66DB" w:rsidRPr="00E820AE" w:rsidRDefault="001E66DB" w:rsidP="001E66DB">
      <w:pPr>
        <w:spacing w:line="360" w:lineRule="exact"/>
        <w:ind w:right="95"/>
        <w:rPr>
          <w:rFonts w:ascii="Times New Roman" w:hAnsi="Times New Roman"/>
          <w:szCs w:val="26"/>
        </w:rPr>
      </w:pPr>
    </w:p>
    <w:p w:rsidR="001E66DB" w:rsidRPr="005956E9" w:rsidRDefault="001E66DB" w:rsidP="001E66DB">
      <w:pPr>
        <w:pStyle w:val="2"/>
        <w:numPr>
          <w:ilvl w:val="0"/>
          <w:numId w:val="0"/>
        </w:numPr>
        <w:spacing w:line="360" w:lineRule="exact"/>
        <w:ind w:left="576" w:right="95" w:hanging="576"/>
        <w:jc w:val="both"/>
        <w:rPr>
          <w:b/>
          <w:szCs w:val="26"/>
          <w:u w:val="none"/>
        </w:rPr>
      </w:pPr>
      <w:r w:rsidRPr="005956E9">
        <w:rPr>
          <w:b/>
          <w:szCs w:val="26"/>
          <w:u w:val="none"/>
        </w:rPr>
        <w:t>Β.  Ελάχιστη Κεφαλαιακή Απαίτηση (</w:t>
      </w:r>
      <w:r w:rsidRPr="005956E9">
        <w:rPr>
          <w:b/>
          <w:szCs w:val="26"/>
          <w:u w:val="none"/>
          <w:lang w:val="en-US"/>
        </w:rPr>
        <w:t>Minimum</w:t>
      </w:r>
      <w:r w:rsidRPr="005956E9">
        <w:rPr>
          <w:b/>
          <w:szCs w:val="26"/>
          <w:u w:val="none"/>
        </w:rPr>
        <w:t xml:space="preserve"> </w:t>
      </w:r>
      <w:r w:rsidRPr="005956E9">
        <w:rPr>
          <w:b/>
          <w:szCs w:val="26"/>
          <w:u w:val="none"/>
          <w:lang w:val="en-US"/>
        </w:rPr>
        <w:t>Capital</w:t>
      </w:r>
      <w:r w:rsidRPr="005956E9">
        <w:rPr>
          <w:b/>
          <w:szCs w:val="26"/>
          <w:u w:val="none"/>
        </w:rPr>
        <w:t xml:space="preserve"> </w:t>
      </w:r>
      <w:r w:rsidRPr="005956E9">
        <w:rPr>
          <w:b/>
          <w:szCs w:val="26"/>
          <w:u w:val="none"/>
          <w:lang w:val="en-US"/>
        </w:rPr>
        <w:t>Requirement</w:t>
      </w:r>
      <w:r w:rsidRPr="005956E9">
        <w:rPr>
          <w:b/>
          <w:szCs w:val="26"/>
          <w:u w:val="none"/>
        </w:rPr>
        <w:t xml:space="preserve"> – “</w:t>
      </w:r>
      <w:r w:rsidRPr="005956E9">
        <w:rPr>
          <w:b/>
          <w:szCs w:val="26"/>
          <w:u w:val="none"/>
          <w:lang w:val="en-US"/>
        </w:rPr>
        <w:t>MCR</w:t>
      </w:r>
      <w:r w:rsidRPr="005956E9">
        <w:rPr>
          <w:b/>
          <w:szCs w:val="26"/>
          <w:u w:val="none"/>
        </w:rPr>
        <w:t>”)</w:t>
      </w:r>
    </w:p>
    <w:p w:rsidR="001E66DB" w:rsidRPr="00E820AE" w:rsidRDefault="001E66DB" w:rsidP="001E66DB">
      <w:pPr>
        <w:spacing w:line="360" w:lineRule="exact"/>
        <w:ind w:right="95"/>
        <w:rPr>
          <w:rFonts w:ascii="Times New Roman" w:hAnsi="Times New Roman"/>
          <w:szCs w:val="26"/>
        </w:rPr>
      </w:pPr>
    </w:p>
    <w:p w:rsidR="001E66DB"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E820AE">
        <w:rPr>
          <w:rFonts w:ascii="Times New Roman" w:hAnsi="Times New Roman"/>
          <w:sz w:val="26"/>
          <w:szCs w:val="26"/>
        </w:rPr>
        <w:t xml:space="preserve">Εξέταση της ύπαρξης καταγεγραμμένης και </w:t>
      </w:r>
      <w:proofErr w:type="spellStart"/>
      <w:r w:rsidRPr="00E820AE">
        <w:rPr>
          <w:rFonts w:ascii="Times New Roman" w:hAnsi="Times New Roman"/>
          <w:sz w:val="26"/>
          <w:szCs w:val="26"/>
        </w:rPr>
        <w:t>επικαιροποιημένης</w:t>
      </w:r>
      <w:proofErr w:type="spellEnd"/>
      <w:r w:rsidRPr="00E820AE">
        <w:rPr>
          <w:rFonts w:ascii="Times New Roman" w:hAnsi="Times New Roman"/>
          <w:sz w:val="26"/>
          <w:szCs w:val="26"/>
        </w:rPr>
        <w:t xml:space="preserve"> μεθοδολογίας υπολογισμού της ελάχιστης κεφαλαιακής απαίτησης.</w:t>
      </w:r>
    </w:p>
    <w:p w:rsidR="001E66DB" w:rsidRDefault="001E66DB" w:rsidP="001E66DB">
      <w:pPr>
        <w:pStyle w:val="a6"/>
        <w:autoSpaceDE w:val="0"/>
        <w:autoSpaceDN w:val="0"/>
        <w:adjustRightInd w:val="0"/>
        <w:spacing w:after="0" w:line="360" w:lineRule="exact"/>
        <w:ind w:left="567" w:right="95"/>
        <w:jc w:val="both"/>
        <w:rPr>
          <w:rFonts w:ascii="Times New Roman" w:hAnsi="Times New Roman"/>
          <w:sz w:val="26"/>
          <w:szCs w:val="26"/>
        </w:rPr>
      </w:pPr>
    </w:p>
    <w:p w:rsidR="001E66DB"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3B75F2">
        <w:rPr>
          <w:rFonts w:ascii="Times New Roman" w:hAnsi="Times New Roman"/>
          <w:sz w:val="26"/>
          <w:szCs w:val="26"/>
        </w:rPr>
        <w:t>Εξέταση ότι η μεθοδολογία και οι παράμετροι υπολογισμού της ελάχιστης κεφαλαιακής απαίτησης που εφαρμόζονται είναι σύμφωνα με τα οριζόμενα από το Πλαίσιο ΦΙΙ.</w:t>
      </w:r>
    </w:p>
    <w:p w:rsidR="001E66DB" w:rsidRDefault="001E66DB" w:rsidP="001E66DB">
      <w:pPr>
        <w:pStyle w:val="a6"/>
        <w:rPr>
          <w:rFonts w:ascii="Times New Roman" w:hAnsi="Times New Roman"/>
          <w:sz w:val="26"/>
          <w:szCs w:val="26"/>
        </w:rPr>
      </w:pPr>
    </w:p>
    <w:p w:rsidR="001E66DB"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3B75F2">
        <w:rPr>
          <w:rFonts w:ascii="Times New Roman" w:hAnsi="Times New Roman"/>
          <w:sz w:val="26"/>
          <w:szCs w:val="26"/>
        </w:rPr>
        <w:t>Εξέταση της ύπαρξης δικλίδων σχετικά με την πληρότητα των δεδομένων που χρησιμοποιήθηκαν για τον υπολογισμό της ελάχιστης κεφαλαιακής απαίτησης.</w:t>
      </w:r>
    </w:p>
    <w:p w:rsidR="001E66DB" w:rsidRDefault="001E66DB" w:rsidP="001E66DB">
      <w:pPr>
        <w:pStyle w:val="a6"/>
        <w:rPr>
          <w:rFonts w:ascii="Times New Roman" w:hAnsi="Times New Roman"/>
          <w:sz w:val="26"/>
          <w:szCs w:val="26"/>
        </w:rPr>
      </w:pPr>
    </w:p>
    <w:p w:rsidR="001E66DB"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3B75F2">
        <w:rPr>
          <w:rFonts w:ascii="Times New Roman" w:hAnsi="Times New Roman"/>
          <w:sz w:val="26"/>
          <w:szCs w:val="26"/>
        </w:rPr>
        <w:t>Εξέταση της ύπαρξης διαδικασίας συμφωνίας των δεδομένων  που χρησιμοποιούνται στους υπολογισμούς της ελάχιστης κεφαλαιακής απαίτησης, με τις πρωτογενείς βάσεις δεδομένων και τις χρηματοοικονομικές καταστάσεις της Εταιρείας.</w:t>
      </w:r>
    </w:p>
    <w:p w:rsidR="001E66DB" w:rsidRDefault="001E66DB" w:rsidP="001E66DB">
      <w:pPr>
        <w:pStyle w:val="a6"/>
        <w:rPr>
          <w:rFonts w:ascii="Times New Roman" w:hAnsi="Times New Roman"/>
          <w:sz w:val="26"/>
          <w:szCs w:val="26"/>
        </w:rPr>
      </w:pPr>
    </w:p>
    <w:p w:rsidR="001E66DB"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3B75F2">
        <w:rPr>
          <w:rFonts w:ascii="Times New Roman" w:hAnsi="Times New Roman"/>
          <w:sz w:val="26"/>
          <w:szCs w:val="26"/>
        </w:rPr>
        <w:t>Εξέταση της ύπαρξης αυτοματοποιημένων και μη δικλίδων, για τον έλεγχο του υπολογισμού της ελάχιστης κεφαλαιακής α</w:t>
      </w:r>
      <w:r>
        <w:rPr>
          <w:rFonts w:ascii="Times New Roman" w:hAnsi="Times New Roman"/>
          <w:sz w:val="26"/>
          <w:szCs w:val="26"/>
        </w:rPr>
        <w:t>παίτησης</w:t>
      </w:r>
      <w:r w:rsidRPr="003B75F2">
        <w:rPr>
          <w:rFonts w:ascii="Times New Roman" w:hAnsi="Times New Roman"/>
          <w:sz w:val="26"/>
          <w:szCs w:val="26"/>
        </w:rPr>
        <w:t xml:space="preserve">. </w:t>
      </w:r>
    </w:p>
    <w:p w:rsidR="001E66DB" w:rsidRDefault="001E66DB" w:rsidP="001E66DB">
      <w:pPr>
        <w:pStyle w:val="a6"/>
        <w:rPr>
          <w:rFonts w:ascii="Times New Roman" w:hAnsi="Times New Roman"/>
          <w:sz w:val="26"/>
          <w:szCs w:val="26"/>
        </w:rPr>
      </w:pPr>
    </w:p>
    <w:p w:rsidR="001E66DB" w:rsidRPr="003B75F2" w:rsidRDefault="001E66DB" w:rsidP="001E66DB">
      <w:pPr>
        <w:pStyle w:val="a6"/>
        <w:numPr>
          <w:ilvl w:val="0"/>
          <w:numId w:val="7"/>
        </w:numPr>
        <w:autoSpaceDE w:val="0"/>
        <w:autoSpaceDN w:val="0"/>
        <w:adjustRightInd w:val="0"/>
        <w:spacing w:after="0" w:line="360" w:lineRule="exact"/>
        <w:ind w:left="567" w:right="95"/>
        <w:jc w:val="both"/>
        <w:rPr>
          <w:rFonts w:ascii="Times New Roman" w:hAnsi="Times New Roman"/>
          <w:sz w:val="26"/>
          <w:szCs w:val="26"/>
        </w:rPr>
      </w:pPr>
      <w:r w:rsidRPr="003B75F2">
        <w:rPr>
          <w:rFonts w:ascii="Times New Roman" w:hAnsi="Times New Roman"/>
          <w:sz w:val="26"/>
          <w:szCs w:val="26"/>
        </w:rPr>
        <w:t>Εξέταση ότι οι υπολογισμοί και η ακολουθούμενη μεθοδολογία της ελάχιστης κεφαλαιακής απαίτησης έχουν υποβληθεί σε μια διαδικασία εσωτερικής επικύρωσης, που πραγματοποιείται ανεξάρτητα από τους υπεύθυνους για την ανάπτυξη των υπολογισμών και της μεθοδολογίας της ελάχιστης κεφαλαιακής απαίτησης, πριν από την επίσημη έγκριση της διοίκησης.</w:t>
      </w:r>
    </w:p>
    <w:p w:rsidR="001E66DB" w:rsidRPr="00E820AE" w:rsidRDefault="001E66DB" w:rsidP="001E66DB">
      <w:pPr>
        <w:pStyle w:val="a6"/>
        <w:autoSpaceDE w:val="0"/>
        <w:autoSpaceDN w:val="0"/>
        <w:adjustRightInd w:val="0"/>
        <w:spacing w:after="0" w:line="360" w:lineRule="exact"/>
        <w:ind w:left="680" w:right="95"/>
        <w:jc w:val="both"/>
        <w:rPr>
          <w:rFonts w:ascii="Times New Roman" w:hAnsi="Times New Roman"/>
          <w:sz w:val="26"/>
          <w:szCs w:val="26"/>
        </w:rPr>
      </w:pPr>
    </w:p>
    <w:p w:rsidR="001E66DB" w:rsidRPr="003B75F2" w:rsidRDefault="001E66DB" w:rsidP="001E66DB">
      <w:pPr>
        <w:pStyle w:val="1"/>
        <w:numPr>
          <w:ilvl w:val="0"/>
          <w:numId w:val="0"/>
        </w:numPr>
        <w:spacing w:line="360" w:lineRule="exact"/>
        <w:ind w:right="95"/>
        <w:jc w:val="both"/>
        <w:rPr>
          <w:i w:val="0"/>
          <w:szCs w:val="26"/>
        </w:rPr>
      </w:pPr>
      <w:r w:rsidRPr="003B75F2">
        <w:rPr>
          <w:i w:val="0"/>
          <w:szCs w:val="26"/>
        </w:rPr>
        <w:lastRenderedPageBreak/>
        <w:t>Γ.  Περιθώριο Κινδύνου (</w:t>
      </w:r>
      <w:proofErr w:type="spellStart"/>
      <w:r w:rsidRPr="003B75F2">
        <w:rPr>
          <w:i w:val="0"/>
          <w:szCs w:val="26"/>
        </w:rPr>
        <w:t>Risk</w:t>
      </w:r>
      <w:proofErr w:type="spellEnd"/>
      <w:r w:rsidRPr="003B75F2">
        <w:rPr>
          <w:i w:val="0"/>
          <w:szCs w:val="26"/>
        </w:rPr>
        <w:t xml:space="preserve"> </w:t>
      </w:r>
      <w:proofErr w:type="spellStart"/>
      <w:r w:rsidRPr="003B75F2">
        <w:rPr>
          <w:i w:val="0"/>
          <w:szCs w:val="26"/>
        </w:rPr>
        <w:t>Margin</w:t>
      </w:r>
      <w:proofErr w:type="spellEnd"/>
      <w:r w:rsidRPr="003B75F2">
        <w:rPr>
          <w:i w:val="0"/>
          <w:szCs w:val="26"/>
        </w:rPr>
        <w:t>)</w:t>
      </w:r>
    </w:p>
    <w:p w:rsidR="001E66DB" w:rsidRPr="00E820AE" w:rsidRDefault="001E66DB" w:rsidP="001E66DB">
      <w:pPr>
        <w:pStyle w:val="2"/>
        <w:numPr>
          <w:ilvl w:val="0"/>
          <w:numId w:val="0"/>
        </w:numPr>
        <w:spacing w:line="360" w:lineRule="exact"/>
        <w:ind w:left="360" w:right="95" w:hanging="360"/>
        <w:jc w:val="both"/>
        <w:rPr>
          <w:szCs w:val="26"/>
          <w:u w:val="none"/>
        </w:rPr>
      </w:pPr>
    </w:p>
    <w:p w:rsidR="001E66DB"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E820AE">
        <w:rPr>
          <w:rFonts w:ascii="Times New Roman" w:hAnsi="Times New Roman"/>
          <w:sz w:val="26"/>
          <w:szCs w:val="26"/>
        </w:rPr>
        <w:t xml:space="preserve">Εξέταση της ύπαρξης καταγεγραμμένης και </w:t>
      </w:r>
      <w:proofErr w:type="spellStart"/>
      <w:r w:rsidRPr="00E820AE">
        <w:rPr>
          <w:rFonts w:ascii="Times New Roman" w:hAnsi="Times New Roman"/>
          <w:sz w:val="26"/>
          <w:szCs w:val="26"/>
        </w:rPr>
        <w:t>επικαιροποιημένης</w:t>
      </w:r>
      <w:proofErr w:type="spellEnd"/>
      <w:r w:rsidRPr="00E820AE">
        <w:rPr>
          <w:rFonts w:ascii="Times New Roman" w:hAnsi="Times New Roman"/>
          <w:sz w:val="26"/>
          <w:szCs w:val="26"/>
        </w:rPr>
        <w:t xml:space="preserve"> μεθοδολογίας υπολογισμού του περιθωρίου κινδύνου.</w:t>
      </w:r>
    </w:p>
    <w:p w:rsidR="001E66DB" w:rsidRDefault="001E66DB" w:rsidP="001E66DB">
      <w:pPr>
        <w:pStyle w:val="a6"/>
        <w:autoSpaceDE w:val="0"/>
        <w:autoSpaceDN w:val="0"/>
        <w:adjustRightInd w:val="0"/>
        <w:spacing w:after="0" w:line="360" w:lineRule="exact"/>
        <w:ind w:right="95"/>
        <w:jc w:val="both"/>
        <w:rPr>
          <w:rFonts w:ascii="Times New Roman" w:hAnsi="Times New Roman"/>
          <w:sz w:val="26"/>
          <w:szCs w:val="26"/>
        </w:rPr>
      </w:pPr>
    </w:p>
    <w:p w:rsidR="001E66DB" w:rsidRPr="003B75F2"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3B75F2">
        <w:rPr>
          <w:rFonts w:ascii="Times New Roman" w:hAnsi="Times New Roman"/>
          <w:sz w:val="26"/>
          <w:szCs w:val="26"/>
        </w:rPr>
        <w:t>Εξέταση ότι η εφαρμοζόμενη μεθοδολογία υπολογισμού και επιμερισμού του περιθωρίου κινδύνου σε κάθε τομέα ασφαλιστικής δραστηριότητας είναι σύμφωνη με το Πλαίσιο ΦΙΙ, αναφορικά με την:</w:t>
      </w:r>
    </w:p>
    <w:p w:rsidR="001E66DB" w:rsidRPr="00E820AE" w:rsidRDefault="001E66DB" w:rsidP="001E66DB">
      <w:pPr>
        <w:pStyle w:val="3"/>
        <w:keepLines/>
        <w:numPr>
          <w:ilvl w:val="0"/>
          <w:numId w:val="9"/>
        </w:numPr>
        <w:tabs>
          <w:tab w:val="clear" w:pos="567"/>
          <w:tab w:val="clear" w:pos="851"/>
          <w:tab w:val="clear" w:pos="1560"/>
        </w:tabs>
        <w:spacing w:line="360" w:lineRule="exact"/>
        <w:ind w:left="1134" w:right="95"/>
        <w:jc w:val="both"/>
        <w:rPr>
          <w:rFonts w:ascii="Times New Roman" w:eastAsia="SimSun" w:hAnsi="Times New Roman"/>
          <w:b w:val="0"/>
          <w:sz w:val="26"/>
          <w:szCs w:val="26"/>
          <w:lang w:eastAsia="zh-CN"/>
        </w:rPr>
      </w:pPr>
      <w:r w:rsidRPr="00E820AE">
        <w:rPr>
          <w:rFonts w:ascii="Times New Roman" w:eastAsia="SimSun" w:hAnsi="Times New Roman"/>
          <w:b w:val="0"/>
          <w:sz w:val="26"/>
          <w:szCs w:val="26"/>
          <w:lang w:eastAsia="zh-CN"/>
        </w:rPr>
        <w:t>χρησιμοποίηση καμπύλης επιτοκίου χωρίς τη χρήση μεταβατικών μέτρων, καθώς και χωρίς τη χρήση οποιασδήποτε προσαρμογής λόγω μεταβλητότητας ή αντιστοίχισης για την ημερομηνία αναφοράς.</w:t>
      </w:r>
    </w:p>
    <w:p w:rsidR="001E66DB" w:rsidRPr="00E820AE" w:rsidRDefault="001E66DB" w:rsidP="001E66DB">
      <w:pPr>
        <w:pStyle w:val="a6"/>
        <w:numPr>
          <w:ilvl w:val="0"/>
          <w:numId w:val="9"/>
        </w:numPr>
        <w:spacing w:after="0" w:line="360" w:lineRule="exact"/>
        <w:ind w:left="1134" w:right="95"/>
        <w:jc w:val="both"/>
        <w:rPr>
          <w:rFonts w:ascii="Times New Roman" w:hAnsi="Times New Roman"/>
          <w:sz w:val="26"/>
          <w:szCs w:val="26"/>
        </w:rPr>
      </w:pPr>
      <w:r w:rsidRPr="00E820AE">
        <w:rPr>
          <w:rFonts w:ascii="Times New Roman" w:hAnsi="Times New Roman"/>
          <w:sz w:val="26"/>
          <w:szCs w:val="26"/>
        </w:rPr>
        <w:t>ενσωμάτωση στον υπολογισμό του περιθωρίου κινδύνου, τις μελλοντικές κεφαλαιακές απαιτήσεις για τις ενότητες κινδύνων που ορίζονται στο Πλαίσιο ΦΙΙ.</w:t>
      </w:r>
    </w:p>
    <w:p w:rsidR="001E66DB" w:rsidRPr="00E820AE" w:rsidRDefault="001E66DB" w:rsidP="001E66DB">
      <w:pPr>
        <w:pStyle w:val="3"/>
        <w:keepLines/>
        <w:numPr>
          <w:ilvl w:val="0"/>
          <w:numId w:val="9"/>
        </w:numPr>
        <w:tabs>
          <w:tab w:val="clear" w:pos="567"/>
          <w:tab w:val="clear" w:pos="851"/>
          <w:tab w:val="clear" w:pos="1560"/>
        </w:tabs>
        <w:spacing w:line="360" w:lineRule="exact"/>
        <w:ind w:left="1134" w:right="95"/>
        <w:jc w:val="both"/>
        <w:rPr>
          <w:rFonts w:ascii="Times New Roman" w:hAnsi="Times New Roman"/>
          <w:b w:val="0"/>
          <w:sz w:val="26"/>
          <w:szCs w:val="26"/>
        </w:rPr>
      </w:pPr>
      <w:r w:rsidRPr="00E820AE">
        <w:rPr>
          <w:rFonts w:ascii="Times New Roman" w:eastAsia="SimSun" w:hAnsi="Times New Roman"/>
          <w:b w:val="0"/>
          <w:sz w:val="26"/>
          <w:szCs w:val="26"/>
          <w:lang w:eastAsia="zh-CN"/>
        </w:rPr>
        <w:t xml:space="preserve">χρήση των παραμέτρων υπολογισμού του περιθωρίου κινδύνου.  </w:t>
      </w:r>
    </w:p>
    <w:p w:rsidR="001E66DB" w:rsidRPr="00E820AE" w:rsidRDefault="001E66DB" w:rsidP="001E66DB">
      <w:pPr>
        <w:pStyle w:val="a6"/>
        <w:autoSpaceDE w:val="0"/>
        <w:autoSpaceDN w:val="0"/>
        <w:adjustRightInd w:val="0"/>
        <w:spacing w:after="0" w:line="360" w:lineRule="exact"/>
        <w:ind w:left="680" w:right="95"/>
        <w:jc w:val="both"/>
        <w:rPr>
          <w:rFonts w:ascii="Times New Roman" w:hAnsi="Times New Roman"/>
          <w:sz w:val="26"/>
          <w:szCs w:val="26"/>
        </w:rPr>
      </w:pPr>
    </w:p>
    <w:p w:rsidR="001E66DB"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E820AE">
        <w:rPr>
          <w:rFonts w:ascii="Times New Roman" w:hAnsi="Times New Roman"/>
          <w:sz w:val="26"/>
          <w:szCs w:val="26"/>
        </w:rPr>
        <w:t>Εξέταση της εφαρμογής των τύπων και κριτήριων απλοποιήσεων βάσει του πλαισίου ΦΙΙ, σε περίπτωση χρήσης απλοποιημένων υπολο</w:t>
      </w:r>
      <w:r>
        <w:rPr>
          <w:rFonts w:ascii="Times New Roman" w:hAnsi="Times New Roman"/>
          <w:sz w:val="26"/>
          <w:szCs w:val="26"/>
        </w:rPr>
        <w:t>γισμών του περιθωρίου κινδύνου.</w:t>
      </w:r>
    </w:p>
    <w:p w:rsidR="001E66DB" w:rsidRDefault="001E66DB" w:rsidP="001E66DB">
      <w:pPr>
        <w:pStyle w:val="a6"/>
        <w:autoSpaceDE w:val="0"/>
        <w:autoSpaceDN w:val="0"/>
        <w:adjustRightInd w:val="0"/>
        <w:spacing w:after="0" w:line="360" w:lineRule="exact"/>
        <w:ind w:right="95"/>
        <w:jc w:val="both"/>
        <w:rPr>
          <w:rFonts w:ascii="Times New Roman" w:hAnsi="Times New Roman"/>
          <w:sz w:val="26"/>
          <w:szCs w:val="26"/>
        </w:rPr>
      </w:pPr>
    </w:p>
    <w:p w:rsidR="001E66DB"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3B75F2">
        <w:rPr>
          <w:rFonts w:ascii="Times New Roman" w:hAnsi="Times New Roman"/>
          <w:sz w:val="26"/>
          <w:szCs w:val="26"/>
        </w:rPr>
        <w:t>Εξέταση της ύπαρξης αυτοματοποιημένων και μη δικλίδων, για τον έλεγχο του υπολογισμού περιθωρίου κινδύνου.</w:t>
      </w:r>
    </w:p>
    <w:p w:rsidR="001E66DB" w:rsidRDefault="001E66DB" w:rsidP="001E66DB">
      <w:pPr>
        <w:pStyle w:val="a6"/>
        <w:rPr>
          <w:rFonts w:ascii="Times New Roman" w:hAnsi="Times New Roman"/>
          <w:sz w:val="26"/>
          <w:szCs w:val="26"/>
        </w:rPr>
      </w:pPr>
    </w:p>
    <w:p w:rsidR="001E66DB"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3B75F2">
        <w:rPr>
          <w:rFonts w:ascii="Times New Roman" w:hAnsi="Times New Roman"/>
          <w:sz w:val="26"/>
          <w:szCs w:val="26"/>
        </w:rPr>
        <w:t>Εξέταση της ύπαρξης διαδικασιών για την επικύρωση των δεδομένων που χρησιμοποιούνται στον υπολογισμό του περιθωρίου κινδύνου.</w:t>
      </w:r>
    </w:p>
    <w:p w:rsidR="001E66DB" w:rsidRDefault="001E66DB" w:rsidP="001E66DB">
      <w:pPr>
        <w:pStyle w:val="a6"/>
        <w:rPr>
          <w:rFonts w:ascii="Times New Roman" w:hAnsi="Times New Roman"/>
          <w:sz w:val="26"/>
          <w:szCs w:val="26"/>
        </w:rPr>
      </w:pPr>
    </w:p>
    <w:p w:rsidR="001E66DB" w:rsidRDefault="001E66DB" w:rsidP="001E66DB">
      <w:pPr>
        <w:pStyle w:val="a6"/>
        <w:numPr>
          <w:ilvl w:val="0"/>
          <w:numId w:val="8"/>
        </w:numPr>
        <w:autoSpaceDE w:val="0"/>
        <w:autoSpaceDN w:val="0"/>
        <w:adjustRightInd w:val="0"/>
        <w:spacing w:after="0" w:line="360" w:lineRule="exact"/>
        <w:ind w:right="95"/>
        <w:jc w:val="both"/>
        <w:rPr>
          <w:rFonts w:ascii="Times New Roman" w:hAnsi="Times New Roman"/>
          <w:sz w:val="26"/>
          <w:szCs w:val="26"/>
        </w:rPr>
      </w:pPr>
      <w:r w:rsidRPr="003B75F2">
        <w:rPr>
          <w:rFonts w:ascii="Times New Roman" w:hAnsi="Times New Roman"/>
          <w:sz w:val="26"/>
          <w:szCs w:val="26"/>
        </w:rPr>
        <w:t>Εξέταση ότι οι υπολογισμοί και η ακολουθούμενη μεθοδολογία του περιθωρίου κινδύνου έχουν υποβληθεί σε μια διαδικασία εσωτερικής επικύρωσης, που πραγματοποιείται ανεξάρτητα από τους υπεύθυνους για την ανάπτυξη των υπολογισμών και της μεθοδολογίας του περιθωρίου κινδύνου πριν από την επίσημη έγκριση της διοίκησης.</w:t>
      </w:r>
    </w:p>
    <w:p w:rsidR="001E66DB" w:rsidRPr="003B75F2" w:rsidRDefault="001E66DB" w:rsidP="001E66DB">
      <w:pPr>
        <w:pStyle w:val="a6"/>
        <w:autoSpaceDE w:val="0"/>
        <w:autoSpaceDN w:val="0"/>
        <w:adjustRightInd w:val="0"/>
        <w:spacing w:after="0" w:line="360" w:lineRule="exact"/>
        <w:ind w:right="95"/>
        <w:jc w:val="both"/>
        <w:rPr>
          <w:rFonts w:ascii="Times New Roman" w:hAnsi="Times New Roman"/>
          <w:sz w:val="26"/>
          <w:szCs w:val="26"/>
        </w:rPr>
      </w:pPr>
    </w:p>
    <w:p w:rsidR="001E66DB" w:rsidRDefault="001E66DB" w:rsidP="001E66DB">
      <w:pPr>
        <w:spacing w:line="360" w:lineRule="exact"/>
        <w:ind w:right="95"/>
        <w:rPr>
          <w:rFonts w:ascii="Times New Roman" w:hAnsi="Times New Roman"/>
          <w:b/>
          <w:bCs/>
          <w:szCs w:val="26"/>
        </w:rPr>
      </w:pPr>
      <w:r w:rsidRPr="003B75F2">
        <w:rPr>
          <w:rFonts w:ascii="Times New Roman" w:hAnsi="Times New Roman"/>
          <w:b/>
          <w:bCs/>
          <w:szCs w:val="26"/>
        </w:rPr>
        <w:t>Ευρήματα</w:t>
      </w:r>
    </w:p>
    <w:p w:rsidR="001E66DB" w:rsidRPr="009743CE" w:rsidRDefault="001E66DB" w:rsidP="001E66DB">
      <w:pPr>
        <w:spacing w:line="240" w:lineRule="auto"/>
        <w:ind w:right="95"/>
        <w:rPr>
          <w:rFonts w:ascii="Times New Roman" w:hAnsi="Times New Roman"/>
          <w:b/>
          <w:bCs/>
          <w:sz w:val="20"/>
        </w:rPr>
      </w:pP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 xml:space="preserve">Από τη διενέργεια των προαναφερόμενων διαδικασιών προέκυψαν τα ευρήματα που παραθέτουμε στο Παράρτημα Α, σχετικά με τον υπολογισμό της Κεφαλαιακής Απαίτησης Φερεγγυότητας σύμφωνα με τη τυποποιημένη μέθοδο, </w:t>
      </w:r>
      <w:r w:rsidRPr="00E820AE">
        <w:rPr>
          <w:rFonts w:ascii="Times New Roman" w:hAnsi="Times New Roman" w:cs="Times New Roman"/>
          <w:sz w:val="26"/>
          <w:szCs w:val="26"/>
          <w:lang w:val="el-GR"/>
        </w:rPr>
        <w:lastRenderedPageBreak/>
        <w:t>της Ελάχιστης Κεφαλαιακής Απαίτησης και του Περιθωρίου Κινδύνου, σύμφωνα με το Πλαίσιο ΦΙΙ.</w:t>
      </w: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Για τα ανωτέρω ευρήματα ζητήσαμε και λάβαμε τα σχόλια της διοίκησης που περιλαμβάνονται επίσης στο Παράρτημα Α.</w:t>
      </w: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 xml:space="preserve">Δεδομένου ότι η διενέργεια των προαναφερόμενων διαδικασιών δεν αποτελεί έλεγχο ή επισκόπηση σύμφωνα με τα Διεθνή Πρότυπα Ελέγχου ή τα Διεθνή Πρότυπα Ανάθεσης Εργασιών Επισκόπησης, δεν εκφράζουμε οποιαδήποτε διαβεβαίωση πέραν των όσων αναφέρουμε ανωτέρω. </w:t>
      </w:r>
    </w:p>
    <w:p w:rsidR="001E66DB"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Αν είχαμε διενεργήσει επιπρόσθετες διαδικασίες ή αν είχαμε διενεργήσει έλεγχο ή επισκόπηση σύμφωνα με τα Διεθνή Πρότυπα Ελέγχου ή τα Διεθνή Πρότυπα Ανάθεσης Εργασιών Επισκόπησης, ενδεχομένως να είχαν υποπέσει στην αντίληψή μας άλλα θέματα, τα οποία θα σας γνωστοποιούσαμε.</w:t>
      </w: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p>
    <w:p w:rsidR="001E66DB" w:rsidRDefault="001E66DB" w:rsidP="001E66DB">
      <w:pPr>
        <w:spacing w:line="360" w:lineRule="exact"/>
        <w:ind w:right="95"/>
        <w:rPr>
          <w:rFonts w:ascii="Times New Roman" w:hAnsi="Times New Roman"/>
          <w:b/>
          <w:bCs/>
          <w:szCs w:val="26"/>
        </w:rPr>
      </w:pPr>
      <w:r w:rsidRPr="003B75F2">
        <w:rPr>
          <w:rFonts w:ascii="Times New Roman" w:hAnsi="Times New Roman"/>
          <w:b/>
          <w:bCs/>
          <w:szCs w:val="26"/>
        </w:rPr>
        <w:t>Περιορισμός Χρήσης</w:t>
      </w:r>
    </w:p>
    <w:p w:rsidR="001E66DB" w:rsidRPr="009743CE" w:rsidRDefault="001E66DB" w:rsidP="001E66DB">
      <w:pPr>
        <w:spacing w:line="240" w:lineRule="auto"/>
        <w:ind w:right="95"/>
        <w:rPr>
          <w:rFonts w:ascii="Times New Roman" w:hAnsi="Times New Roman"/>
          <w:b/>
          <w:bCs/>
          <w:sz w:val="20"/>
        </w:rPr>
      </w:pPr>
    </w:p>
    <w:p w:rsidR="001E66DB" w:rsidRPr="00E820AE" w:rsidRDefault="001E66DB" w:rsidP="001E66DB">
      <w:pPr>
        <w:pStyle w:val="BodyText3"/>
        <w:spacing w:before="0" w:after="0" w:line="360" w:lineRule="exact"/>
        <w:ind w:right="95" w:firstLine="0"/>
        <w:rPr>
          <w:rFonts w:ascii="Times New Roman" w:hAnsi="Times New Roman" w:cs="Times New Roman"/>
          <w:sz w:val="26"/>
          <w:szCs w:val="26"/>
          <w:lang w:val="el-GR"/>
        </w:rPr>
      </w:pPr>
      <w:r w:rsidRPr="00E820AE">
        <w:rPr>
          <w:rFonts w:ascii="Times New Roman" w:hAnsi="Times New Roman" w:cs="Times New Roman"/>
          <w:sz w:val="26"/>
          <w:szCs w:val="26"/>
          <w:lang w:val="el-GR"/>
        </w:rPr>
        <w:t xml:space="preserve">Η Έκθεσή μας συντάχθηκε στα πλαίσια των υποχρεώσεων της Εταιρείας που </w:t>
      </w:r>
      <w:r w:rsidRPr="009743CE">
        <w:rPr>
          <w:rFonts w:ascii="Times New Roman" w:hAnsi="Times New Roman" w:cs="Times New Roman"/>
          <w:sz w:val="26"/>
          <w:szCs w:val="26"/>
          <w:lang w:val="el-GR"/>
        </w:rPr>
        <w:t>απορρέουν από το άρθρο 4 της ΠΕΕ 105/12.12.2016 της Τράπεζας της Ελλάδος, σχετικά με την Έκθεση Φερεγγυότητας και Χρηματοοικονομικής Κατάστασης, η οποία συντάσσεται από την Εταιρεία σύμφωνα με το Ν.4364/2016, την Οδηγία</w:t>
      </w:r>
      <w:r w:rsidRPr="00E820AE">
        <w:rPr>
          <w:rFonts w:ascii="Times New Roman" w:hAnsi="Times New Roman" w:cs="Times New Roman"/>
          <w:sz w:val="26"/>
          <w:szCs w:val="26"/>
          <w:lang w:val="el-GR"/>
        </w:rPr>
        <w:t xml:space="preserve"> 2009/138/ΕΚ του Ευρωπαϊκού Κοινοβουλίου και του Συμβουλίου, τις διατάξεις των Εκτελεστικών Κανονισμών (ΕΕ) 2015/2452 και 2015/35 της Ευρωπαϊκής Επιτροπής και τις από 12.2.2016 ΠΕΕ της Τράπεζας της Ελλάδος.</w:t>
      </w:r>
    </w:p>
    <w:p w:rsidR="001E66DB" w:rsidRPr="00E820AE" w:rsidRDefault="001E66DB" w:rsidP="001E66DB">
      <w:pPr>
        <w:pStyle w:val="BodyText3"/>
        <w:spacing w:before="0" w:after="0" w:line="360" w:lineRule="exact"/>
        <w:ind w:right="95" w:firstLine="0"/>
        <w:rPr>
          <w:rFonts w:ascii="Times New Roman" w:hAnsi="Times New Roman" w:cs="Times New Roman"/>
          <w:sz w:val="20"/>
          <w:szCs w:val="20"/>
          <w:lang w:val="el-GR"/>
        </w:rPr>
      </w:pPr>
      <w:r w:rsidRPr="00E820AE">
        <w:rPr>
          <w:rFonts w:ascii="Times New Roman" w:hAnsi="Times New Roman" w:cs="Times New Roman"/>
          <w:sz w:val="26"/>
          <w:szCs w:val="26"/>
          <w:lang w:val="el-GR"/>
        </w:rPr>
        <w:t>Η παρούσα έκθεση δεν επεκτείνεται στις Χρηματοοικονομικές Καταστάσεις και την Έκθεση Φερεγγυότητας και Χρηματοοικονομικής Κατάστασης της Εταιρείας στο σύνολό τους ή σε άλλα θέματα συμμόρφωσης ως προς τις εποπτικές υποχρεώσεις. Ως εκ τούτου η Έκθεση αυτή απευθύνεται αποκλειστικά προς το Διοικητικό Συμβούλιο της Εταιρείας, με σκοπό την ενημέρωσή του σχετικά με τις απαιτήσεις του πλαισίου εφαρμογής ΦΙΙ και δεν επιτρέπεται να χρησιμοποιηθεί για οποιοδήποτε άλλο σκοπό ή να διανεμηθεί σε τρίτους, εκτός από την υποβολή της προς την Τράπεζα της Ελλάδος, στο πλαίσιο των αρμοδιοτήτων της ως Εποπτική Αρχή.</w:t>
      </w:r>
    </w:p>
    <w:p w:rsidR="001E66DB" w:rsidRDefault="001E66DB" w:rsidP="001E66DB">
      <w:pPr>
        <w:spacing w:before="60" w:after="100" w:line="259" w:lineRule="auto"/>
        <w:ind w:left="3600"/>
        <w:rPr>
          <w:rFonts w:ascii="Times New Roman" w:eastAsia="Calibri" w:hAnsi="Times New Roman"/>
          <w:szCs w:val="26"/>
        </w:rPr>
      </w:pPr>
      <w:r w:rsidRPr="003B75F2">
        <w:rPr>
          <w:rFonts w:ascii="Times New Roman" w:eastAsia="Calibri" w:hAnsi="Times New Roman"/>
          <w:szCs w:val="26"/>
        </w:rPr>
        <w:t>Αθήνα, ΧΧ/ΧΧ/201Χ</w:t>
      </w:r>
    </w:p>
    <w:p w:rsidR="001E66DB" w:rsidRPr="003B75F2" w:rsidRDefault="001E66DB" w:rsidP="001E66DB">
      <w:pPr>
        <w:spacing w:before="60" w:after="100" w:line="259" w:lineRule="auto"/>
        <w:ind w:left="3600"/>
        <w:rPr>
          <w:rFonts w:ascii="Times New Roman" w:eastAsia="Calibri" w:hAnsi="Times New Roman"/>
          <w:szCs w:val="26"/>
        </w:rPr>
      </w:pPr>
    </w:p>
    <w:p w:rsidR="001E66DB" w:rsidRPr="003B75F2" w:rsidRDefault="001E66DB" w:rsidP="001E66DB">
      <w:pPr>
        <w:spacing w:after="160" w:line="259" w:lineRule="auto"/>
        <w:rPr>
          <w:rFonts w:ascii="Times New Roman" w:eastAsia="Calibri" w:hAnsi="Times New Roman"/>
          <w:szCs w:val="26"/>
        </w:rPr>
      </w:pPr>
      <w:r>
        <w:rPr>
          <w:rFonts w:ascii="Times New Roman" w:eastAsia="Calibri" w:hAnsi="Times New Roman"/>
          <w:szCs w:val="26"/>
        </w:rPr>
        <w:t xml:space="preserve">Ελεγκτική Εταιρεία ΧΧΧ Α.Ε. </w:t>
      </w:r>
      <w:r>
        <w:rPr>
          <w:rFonts w:ascii="Times New Roman" w:eastAsia="Calibri" w:hAnsi="Times New Roman"/>
          <w:szCs w:val="26"/>
        </w:rPr>
        <w:tab/>
      </w:r>
      <w:r>
        <w:rPr>
          <w:rFonts w:ascii="Times New Roman" w:eastAsia="Calibri" w:hAnsi="Times New Roman"/>
          <w:szCs w:val="26"/>
        </w:rPr>
        <w:tab/>
      </w:r>
      <w:r>
        <w:rPr>
          <w:rFonts w:ascii="Times New Roman" w:eastAsia="Calibri" w:hAnsi="Times New Roman"/>
          <w:szCs w:val="26"/>
        </w:rPr>
        <w:tab/>
      </w:r>
      <w:r w:rsidRPr="003B75F2">
        <w:rPr>
          <w:rFonts w:ascii="Times New Roman" w:eastAsia="Calibri" w:hAnsi="Times New Roman"/>
          <w:szCs w:val="26"/>
        </w:rPr>
        <w:t>Ο Ορκωτός Ελεγκτής Λογιστής</w:t>
      </w:r>
    </w:p>
    <w:p w:rsidR="001E66DB" w:rsidRPr="003B75F2" w:rsidRDefault="001E66DB" w:rsidP="001E66DB">
      <w:pPr>
        <w:spacing w:after="160" w:line="259" w:lineRule="auto"/>
        <w:rPr>
          <w:rFonts w:ascii="Times New Roman" w:eastAsia="Calibri" w:hAnsi="Times New Roman"/>
          <w:szCs w:val="26"/>
        </w:rPr>
      </w:pPr>
    </w:p>
    <w:p w:rsidR="001E66DB" w:rsidRPr="003B75F2" w:rsidRDefault="001E66DB" w:rsidP="001E66DB">
      <w:pPr>
        <w:spacing w:after="160" w:line="259" w:lineRule="auto"/>
        <w:rPr>
          <w:rFonts w:ascii="Times New Roman" w:eastAsia="Calibri" w:hAnsi="Times New Roman"/>
          <w:szCs w:val="26"/>
        </w:rPr>
      </w:pPr>
      <w:r w:rsidRPr="003B75F2">
        <w:rPr>
          <w:rFonts w:ascii="Times New Roman" w:eastAsia="Calibri" w:hAnsi="Times New Roman"/>
          <w:szCs w:val="26"/>
        </w:rPr>
        <w:t xml:space="preserve">ΑΜ ΣΟΕΛ ΧΧΧ </w:t>
      </w:r>
      <w:r w:rsidRPr="003B75F2">
        <w:rPr>
          <w:rFonts w:ascii="Times New Roman" w:eastAsia="Calibri" w:hAnsi="Times New Roman"/>
          <w:szCs w:val="26"/>
        </w:rPr>
        <w:tab/>
      </w:r>
      <w:r w:rsidRPr="003B75F2">
        <w:rPr>
          <w:rFonts w:ascii="Times New Roman" w:eastAsia="Calibri" w:hAnsi="Times New Roman"/>
          <w:szCs w:val="26"/>
        </w:rPr>
        <w:tab/>
      </w:r>
      <w:r w:rsidRPr="003B75F2">
        <w:rPr>
          <w:rFonts w:ascii="Times New Roman" w:eastAsia="Calibri" w:hAnsi="Times New Roman"/>
          <w:szCs w:val="26"/>
        </w:rPr>
        <w:tab/>
      </w:r>
      <w:r w:rsidRPr="003B75F2">
        <w:rPr>
          <w:rFonts w:ascii="Times New Roman" w:eastAsia="Calibri" w:hAnsi="Times New Roman"/>
          <w:szCs w:val="26"/>
        </w:rPr>
        <w:tab/>
      </w:r>
      <w:r w:rsidRPr="003B75F2">
        <w:rPr>
          <w:rFonts w:ascii="Times New Roman" w:eastAsia="Calibri" w:hAnsi="Times New Roman"/>
          <w:szCs w:val="26"/>
        </w:rPr>
        <w:tab/>
      </w:r>
      <w:r w:rsidRPr="003B75F2">
        <w:rPr>
          <w:rFonts w:ascii="Times New Roman" w:eastAsia="Calibri" w:hAnsi="Times New Roman"/>
          <w:szCs w:val="26"/>
        </w:rPr>
        <w:tab/>
      </w:r>
      <w:r w:rsidRPr="003B75F2">
        <w:rPr>
          <w:rFonts w:ascii="Times New Roman" w:eastAsia="Calibri" w:hAnsi="Times New Roman"/>
          <w:szCs w:val="26"/>
        </w:rPr>
        <w:tab/>
        <w:t>ΑΜ ΣΟΕΛ ΧΧΧΧ</w:t>
      </w:r>
      <w:r w:rsidRPr="003B75F2">
        <w:rPr>
          <w:rFonts w:ascii="Times New Roman" w:eastAsia="Calibri" w:hAnsi="Times New Roman"/>
          <w:szCs w:val="26"/>
        </w:rPr>
        <w:fldChar w:fldCharType="begin"/>
      </w:r>
      <w:r w:rsidRPr="003B75F2">
        <w:rPr>
          <w:rFonts w:ascii="Times New Roman" w:eastAsia="Calibri" w:hAnsi="Times New Roman"/>
          <w:szCs w:val="26"/>
        </w:rPr>
        <w:instrText xml:space="preserve"> DocProperty KISFromPosn2 \* charformat</w:instrText>
      </w:r>
      <w:r w:rsidRPr="003B75F2">
        <w:rPr>
          <w:rFonts w:ascii="Times New Roman" w:eastAsia="Calibri" w:hAnsi="Times New Roman"/>
          <w:szCs w:val="26"/>
        </w:rPr>
        <w:fldChar w:fldCharType="end"/>
      </w:r>
    </w:p>
    <w:p w:rsidR="001E66DB" w:rsidRPr="003B75F2" w:rsidRDefault="001E66DB" w:rsidP="001E66DB">
      <w:pPr>
        <w:spacing w:after="160" w:line="259" w:lineRule="auto"/>
        <w:rPr>
          <w:rFonts w:ascii="Times New Roman" w:hAnsi="Times New Roman"/>
          <w:b/>
          <w:szCs w:val="26"/>
        </w:rPr>
      </w:pPr>
      <w:bookmarkStart w:id="0" w:name="_GoBack"/>
      <w:bookmarkEnd w:id="0"/>
      <w:r w:rsidRPr="003B75F2">
        <w:rPr>
          <w:rFonts w:ascii="Times New Roman" w:hAnsi="Times New Roman"/>
          <w:b/>
          <w:szCs w:val="26"/>
        </w:rPr>
        <w:lastRenderedPageBreak/>
        <w:t>ΠΑΡΑΡΤΗΜΑ</w:t>
      </w:r>
    </w:p>
    <w:p w:rsidR="001E66DB" w:rsidRDefault="001E66DB" w:rsidP="001E66DB">
      <w:pPr>
        <w:spacing w:line="360" w:lineRule="exact"/>
        <w:rPr>
          <w:rFonts w:ascii="Times New Roman" w:hAnsi="Times New Roman"/>
          <w:szCs w:val="26"/>
        </w:rPr>
      </w:pPr>
      <w:r w:rsidRPr="003B75F2">
        <w:rPr>
          <w:rFonts w:ascii="Times New Roman" w:hAnsi="Times New Roman"/>
          <w:szCs w:val="26"/>
        </w:rPr>
        <w:t>Ευρήματα από τη διενέργεια προσυμφωνημένων διαδικασιών επί του υπολογισμού της Κεφαλαιακής Απαίτησης Φερεγγυότητας σύμφωνα με την τυποποιημένη μέθοδο, της Ελάχιστης Κεφαλαιακής Απαίτησης και του Περιθωρίου Κινδύνου, από την ασφαλιστική εταιρεία ΑΒΓ ΑΕ με ημερομηνία 31 Δεκεμβρίου 2016.</w:t>
      </w:r>
    </w:p>
    <w:p w:rsidR="001E66DB" w:rsidRPr="003B75F2" w:rsidRDefault="001E66DB" w:rsidP="001E66DB">
      <w:pPr>
        <w:spacing w:after="160" w:line="259" w:lineRule="auto"/>
        <w:rPr>
          <w:rFonts w:ascii="Times New Roman" w:eastAsia="Calibri" w:hAnsi="Times New Roman"/>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4"/>
        <w:gridCol w:w="2478"/>
        <w:gridCol w:w="2838"/>
      </w:tblGrid>
      <w:tr w:rsidR="001E66DB" w:rsidRPr="003C0950" w:rsidTr="00B475ED">
        <w:tc>
          <w:tcPr>
            <w:tcW w:w="3256"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b/>
                <w:sz w:val="26"/>
                <w:szCs w:val="26"/>
                <w:lang w:val="el-GR"/>
              </w:rPr>
            </w:pPr>
            <w:r w:rsidRPr="003C0950">
              <w:rPr>
                <w:rFonts w:ascii="Times New Roman" w:hAnsi="Times New Roman" w:cs="Times New Roman"/>
                <w:b/>
                <w:sz w:val="26"/>
                <w:szCs w:val="26"/>
                <w:lang w:val="el-GR"/>
              </w:rPr>
              <w:t xml:space="preserve">Διενεργηθείσα Διαδικασία </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b/>
                <w:sz w:val="26"/>
                <w:szCs w:val="26"/>
                <w:lang w:val="el-GR"/>
              </w:rPr>
            </w:pPr>
            <w:r w:rsidRPr="003C0950">
              <w:rPr>
                <w:rFonts w:ascii="Times New Roman" w:hAnsi="Times New Roman" w:cs="Times New Roman"/>
                <w:b/>
                <w:sz w:val="26"/>
                <w:szCs w:val="26"/>
                <w:lang w:val="el-GR"/>
              </w:rPr>
              <w:t>Ευρήματα</w:t>
            </w: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b/>
                <w:sz w:val="26"/>
                <w:szCs w:val="26"/>
                <w:lang w:val="el-GR"/>
              </w:rPr>
            </w:pPr>
            <w:r w:rsidRPr="003C0950">
              <w:rPr>
                <w:rFonts w:ascii="Times New Roman" w:hAnsi="Times New Roman" w:cs="Times New Roman"/>
                <w:b/>
                <w:sz w:val="26"/>
                <w:szCs w:val="26"/>
                <w:lang w:val="el-GR"/>
              </w:rPr>
              <w:t>Σχόλια της διοίκησης</w:t>
            </w:r>
          </w:p>
        </w:tc>
      </w:tr>
      <w:tr w:rsidR="001E66DB" w:rsidRPr="003C0950" w:rsidTr="00B475ED">
        <w:tc>
          <w:tcPr>
            <w:tcW w:w="3256"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jc w:val="left"/>
              <w:rPr>
                <w:rFonts w:ascii="Times New Roman" w:hAnsi="Times New Roman" w:cs="Times New Roman"/>
                <w:sz w:val="26"/>
                <w:szCs w:val="26"/>
                <w:lang w:val="el-GR"/>
              </w:rPr>
            </w:pPr>
            <w:r w:rsidRPr="003C0950">
              <w:rPr>
                <w:rFonts w:ascii="Times New Roman" w:hAnsi="Times New Roman" w:cs="Times New Roman"/>
                <w:sz w:val="26"/>
                <w:szCs w:val="26"/>
                <w:lang w:val="el-GR"/>
              </w:rPr>
              <w:t>Α. Κεφαλαιακή Απαίτηση Φερεγγυότητας – τυποποιημένη μέθοδος (</w:t>
            </w:r>
            <w:proofErr w:type="spellStart"/>
            <w:r w:rsidRPr="003C0950">
              <w:rPr>
                <w:rFonts w:ascii="Times New Roman" w:hAnsi="Times New Roman" w:cs="Times New Roman"/>
                <w:sz w:val="26"/>
                <w:szCs w:val="26"/>
              </w:rPr>
              <w:t>Solvency</w:t>
            </w:r>
            <w:proofErr w:type="spellEnd"/>
            <w:r w:rsidRPr="003C0950">
              <w:rPr>
                <w:rFonts w:ascii="Times New Roman" w:hAnsi="Times New Roman" w:cs="Times New Roman"/>
                <w:sz w:val="26"/>
                <w:szCs w:val="26"/>
                <w:lang w:val="el-GR"/>
              </w:rPr>
              <w:t xml:space="preserve"> </w:t>
            </w:r>
            <w:r w:rsidRPr="003C0950">
              <w:rPr>
                <w:rFonts w:ascii="Times New Roman" w:hAnsi="Times New Roman" w:cs="Times New Roman"/>
                <w:sz w:val="26"/>
                <w:szCs w:val="26"/>
              </w:rPr>
              <w:t>Capital</w:t>
            </w:r>
            <w:r w:rsidRPr="003C0950">
              <w:rPr>
                <w:rFonts w:ascii="Times New Roman" w:hAnsi="Times New Roman" w:cs="Times New Roman"/>
                <w:sz w:val="26"/>
                <w:szCs w:val="26"/>
                <w:lang w:val="el-GR"/>
              </w:rPr>
              <w:t xml:space="preserve"> </w:t>
            </w:r>
            <w:proofErr w:type="spellStart"/>
            <w:r w:rsidRPr="003C0950">
              <w:rPr>
                <w:rFonts w:ascii="Times New Roman" w:hAnsi="Times New Roman" w:cs="Times New Roman"/>
                <w:sz w:val="26"/>
                <w:szCs w:val="26"/>
              </w:rPr>
              <w:t>Requirement</w:t>
            </w:r>
            <w:proofErr w:type="spellEnd"/>
            <w:r w:rsidRPr="003C0950">
              <w:rPr>
                <w:rFonts w:ascii="Times New Roman" w:hAnsi="Times New Roman" w:cs="Times New Roman"/>
                <w:sz w:val="26"/>
                <w:szCs w:val="26"/>
                <w:lang w:val="el-GR"/>
              </w:rPr>
              <w:t xml:space="preserve"> – </w:t>
            </w:r>
            <w:r w:rsidRPr="003C0950">
              <w:rPr>
                <w:rFonts w:ascii="Times New Roman" w:hAnsi="Times New Roman" w:cs="Times New Roman"/>
                <w:sz w:val="26"/>
                <w:szCs w:val="26"/>
              </w:rPr>
              <w:t>Standard</w:t>
            </w:r>
            <w:r w:rsidRPr="003C0950">
              <w:rPr>
                <w:rFonts w:ascii="Times New Roman" w:hAnsi="Times New Roman" w:cs="Times New Roman"/>
                <w:sz w:val="26"/>
                <w:szCs w:val="26"/>
                <w:lang w:val="el-GR"/>
              </w:rPr>
              <w:t xml:space="preserve"> </w:t>
            </w:r>
            <w:r w:rsidRPr="003C0950">
              <w:rPr>
                <w:rFonts w:ascii="Times New Roman" w:hAnsi="Times New Roman" w:cs="Times New Roman"/>
                <w:sz w:val="26"/>
                <w:szCs w:val="26"/>
                <w:lang w:val="en-AU"/>
              </w:rPr>
              <w:t>Formula</w:t>
            </w:r>
            <w:r w:rsidRPr="003C0950">
              <w:rPr>
                <w:rFonts w:ascii="Times New Roman" w:hAnsi="Times New Roman" w:cs="Times New Roman"/>
                <w:sz w:val="26"/>
                <w:szCs w:val="26"/>
                <w:lang w:val="el-GR"/>
              </w:rPr>
              <w:t>)</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6"/>
                <w:szCs w:val="26"/>
                <w:lang w:val="el-GR"/>
              </w:rPr>
            </w:pPr>
            <w:r w:rsidRPr="003C0950">
              <w:rPr>
                <w:rFonts w:ascii="Times New Roman" w:hAnsi="Times New Roman" w:cs="Times New Roman"/>
                <w:sz w:val="26"/>
                <w:szCs w:val="26"/>
                <w:lang w:val="el-GR"/>
              </w:rPr>
              <w:t xml:space="preserve">Α1.1 </w:t>
            </w:r>
            <w:proofErr w:type="spellStart"/>
            <w:r w:rsidRPr="003C0950">
              <w:rPr>
                <w:rFonts w:ascii="Times New Roman" w:hAnsi="Times New Roman" w:cs="Times New Roman"/>
                <w:sz w:val="26"/>
                <w:szCs w:val="26"/>
                <w:lang w:val="el-GR"/>
              </w:rPr>
              <w:t>χχχχχ</w:t>
            </w:r>
            <w:proofErr w:type="spellEnd"/>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6"/>
                <w:szCs w:val="26"/>
                <w:lang w:val="el-GR"/>
              </w:rPr>
            </w:pPr>
            <w:r w:rsidRPr="003C0950">
              <w:rPr>
                <w:rFonts w:ascii="Times New Roman" w:hAnsi="Times New Roman" w:cs="Times New Roman"/>
                <w:sz w:val="26"/>
                <w:szCs w:val="26"/>
                <w:lang w:val="el-GR"/>
              </w:rPr>
              <w:t xml:space="preserve">Α1.2 </w:t>
            </w:r>
            <w:proofErr w:type="spellStart"/>
            <w:r w:rsidRPr="003C0950">
              <w:rPr>
                <w:rFonts w:ascii="Times New Roman" w:hAnsi="Times New Roman" w:cs="Times New Roman"/>
                <w:sz w:val="26"/>
                <w:szCs w:val="26"/>
                <w:lang w:val="el-GR"/>
              </w:rPr>
              <w:t>χχχχχ</w:t>
            </w:r>
            <w:proofErr w:type="spellEnd"/>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6"/>
                <w:szCs w:val="26"/>
                <w:lang w:val="el-GR"/>
              </w:rPr>
            </w:pPr>
            <w:proofErr w:type="spellStart"/>
            <w:r w:rsidRPr="003C0950">
              <w:rPr>
                <w:rFonts w:ascii="Times New Roman" w:hAnsi="Times New Roman" w:cs="Times New Roman"/>
                <w:sz w:val="26"/>
                <w:szCs w:val="26"/>
                <w:lang w:val="el-GR"/>
              </w:rPr>
              <w:t>Χχχχ</w:t>
            </w:r>
            <w:proofErr w:type="spellEnd"/>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1"/>
              <w:numPr>
                <w:ilvl w:val="0"/>
                <w:numId w:val="0"/>
              </w:numPr>
              <w:jc w:val="left"/>
              <w:rPr>
                <w:b w:val="0"/>
                <w:i w:val="0"/>
                <w:szCs w:val="26"/>
              </w:rPr>
            </w:pPr>
            <w:r w:rsidRPr="003C0950">
              <w:rPr>
                <w:rFonts w:eastAsia="Calibri"/>
                <w:b w:val="0"/>
                <w:i w:val="0"/>
                <w:szCs w:val="26"/>
              </w:rPr>
              <w:t>Β.</w:t>
            </w:r>
            <w:r w:rsidRPr="003C0950">
              <w:rPr>
                <w:b w:val="0"/>
                <w:i w:val="0"/>
                <w:szCs w:val="26"/>
              </w:rPr>
              <w:t xml:space="preserve"> </w:t>
            </w:r>
            <w:r w:rsidRPr="003C0950">
              <w:rPr>
                <w:rFonts w:eastAsia="Calibri"/>
                <w:b w:val="0"/>
                <w:i w:val="0"/>
                <w:szCs w:val="26"/>
              </w:rPr>
              <w:t>Βασική Κεφαλαιακή Απαίτηση Φερεγγυότητας (</w:t>
            </w:r>
            <w:proofErr w:type="spellStart"/>
            <w:r w:rsidRPr="003C0950">
              <w:rPr>
                <w:rFonts w:eastAsia="Calibri"/>
                <w:b w:val="0"/>
                <w:i w:val="0"/>
                <w:szCs w:val="26"/>
              </w:rPr>
              <w:t>Basic</w:t>
            </w:r>
            <w:proofErr w:type="spellEnd"/>
            <w:r w:rsidRPr="003C0950">
              <w:rPr>
                <w:rFonts w:eastAsia="Calibri"/>
                <w:b w:val="0"/>
                <w:i w:val="0"/>
                <w:szCs w:val="26"/>
              </w:rPr>
              <w:t xml:space="preserve"> </w:t>
            </w:r>
            <w:proofErr w:type="spellStart"/>
            <w:r w:rsidRPr="003C0950">
              <w:rPr>
                <w:rFonts w:eastAsia="Calibri"/>
                <w:b w:val="0"/>
                <w:i w:val="0"/>
                <w:szCs w:val="26"/>
              </w:rPr>
              <w:t>Solvency</w:t>
            </w:r>
            <w:proofErr w:type="spellEnd"/>
            <w:r w:rsidRPr="003C0950">
              <w:rPr>
                <w:rFonts w:eastAsia="Calibri"/>
                <w:b w:val="0"/>
                <w:i w:val="0"/>
                <w:szCs w:val="26"/>
              </w:rPr>
              <w:t xml:space="preserve"> Capital </w:t>
            </w:r>
            <w:proofErr w:type="spellStart"/>
            <w:r w:rsidRPr="003C0950">
              <w:rPr>
                <w:rFonts w:eastAsia="Calibri"/>
                <w:b w:val="0"/>
                <w:i w:val="0"/>
                <w:szCs w:val="26"/>
              </w:rPr>
              <w:t>Requirement</w:t>
            </w:r>
            <w:proofErr w:type="spellEnd"/>
            <w:r w:rsidRPr="003C0950">
              <w:rPr>
                <w:rFonts w:eastAsia="Calibri"/>
                <w:b w:val="0"/>
                <w:i w:val="0"/>
                <w:szCs w:val="26"/>
              </w:rPr>
              <w:t xml:space="preserve"> – “BSCR”)</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1"/>
              <w:numPr>
                <w:ilvl w:val="0"/>
                <w:numId w:val="0"/>
              </w:numPr>
              <w:jc w:val="both"/>
              <w:rPr>
                <w:rFonts w:eastAsia="Calibri"/>
                <w:b w:val="0"/>
                <w:i w:val="0"/>
                <w:szCs w:val="26"/>
              </w:rPr>
            </w:pPr>
            <w:r w:rsidRPr="003C0950">
              <w:rPr>
                <w:rFonts w:eastAsia="Calibri"/>
                <w:b w:val="0"/>
                <w:i w:val="0"/>
                <w:szCs w:val="26"/>
              </w:rPr>
              <w:t>Β.1 ΧΧΧ</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1"/>
              <w:numPr>
                <w:ilvl w:val="0"/>
                <w:numId w:val="0"/>
              </w:numPr>
              <w:jc w:val="both"/>
              <w:rPr>
                <w:rFonts w:eastAsia="Calibri"/>
                <w:b w:val="0"/>
                <w:i w:val="0"/>
                <w:szCs w:val="26"/>
              </w:rPr>
            </w:pPr>
            <w:r w:rsidRPr="003C0950">
              <w:rPr>
                <w:rFonts w:eastAsia="Calibri"/>
                <w:b w:val="0"/>
                <w:i w:val="0"/>
                <w:szCs w:val="26"/>
              </w:rPr>
              <w:t>ΧΧΧ</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1"/>
              <w:numPr>
                <w:ilvl w:val="0"/>
                <w:numId w:val="0"/>
              </w:numPr>
              <w:jc w:val="both"/>
              <w:rPr>
                <w:rFonts w:eastAsia="Calibri"/>
                <w:b w:val="0"/>
                <w:i w:val="0"/>
                <w:szCs w:val="26"/>
              </w:rPr>
            </w:pPr>
            <w:r w:rsidRPr="003C0950">
              <w:rPr>
                <w:rFonts w:eastAsia="Calibri"/>
                <w:b w:val="0"/>
                <w:i w:val="0"/>
                <w:szCs w:val="26"/>
              </w:rPr>
              <w:t>Γ. Περιθώριο Κινδύνου (</w:t>
            </w:r>
            <w:proofErr w:type="spellStart"/>
            <w:r w:rsidRPr="003C0950">
              <w:rPr>
                <w:rFonts w:eastAsia="Calibri"/>
                <w:b w:val="0"/>
                <w:i w:val="0"/>
                <w:szCs w:val="26"/>
              </w:rPr>
              <w:t>Risk</w:t>
            </w:r>
            <w:proofErr w:type="spellEnd"/>
            <w:r w:rsidRPr="003C0950">
              <w:rPr>
                <w:rFonts w:eastAsia="Calibri"/>
                <w:b w:val="0"/>
                <w:i w:val="0"/>
                <w:szCs w:val="26"/>
              </w:rPr>
              <w:t xml:space="preserve"> </w:t>
            </w:r>
            <w:proofErr w:type="spellStart"/>
            <w:r w:rsidRPr="003C0950">
              <w:rPr>
                <w:rFonts w:eastAsia="Calibri"/>
                <w:b w:val="0"/>
                <w:i w:val="0"/>
                <w:szCs w:val="26"/>
              </w:rPr>
              <w:t>Margin</w:t>
            </w:r>
            <w:proofErr w:type="spellEnd"/>
            <w:r w:rsidRPr="003C0950">
              <w:rPr>
                <w:rFonts w:eastAsia="Calibri"/>
                <w:b w:val="0"/>
                <w:i w:val="0"/>
                <w:szCs w:val="26"/>
              </w:rPr>
              <w:t>)</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r w:rsidR="001E66DB" w:rsidRPr="003C0950" w:rsidTr="00B475ED">
        <w:tc>
          <w:tcPr>
            <w:tcW w:w="3256" w:type="dxa"/>
            <w:shd w:val="clear" w:color="auto" w:fill="auto"/>
          </w:tcPr>
          <w:p w:rsidR="001E66DB" w:rsidRPr="003C0950" w:rsidRDefault="001E66DB" w:rsidP="00B475ED">
            <w:pPr>
              <w:pStyle w:val="1"/>
              <w:numPr>
                <w:ilvl w:val="0"/>
                <w:numId w:val="0"/>
              </w:numPr>
              <w:jc w:val="both"/>
              <w:rPr>
                <w:rFonts w:eastAsia="Calibri"/>
                <w:b w:val="0"/>
                <w:i w:val="0"/>
                <w:szCs w:val="26"/>
              </w:rPr>
            </w:pPr>
            <w:r w:rsidRPr="003C0950">
              <w:rPr>
                <w:rFonts w:eastAsia="Calibri"/>
                <w:b w:val="0"/>
                <w:i w:val="0"/>
                <w:szCs w:val="26"/>
              </w:rPr>
              <w:t>Γ.1 ΧΧΧ</w:t>
            </w:r>
          </w:p>
        </w:tc>
        <w:tc>
          <w:tcPr>
            <w:tcW w:w="249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c>
          <w:tcPr>
            <w:tcW w:w="2877" w:type="dxa"/>
            <w:shd w:val="clear" w:color="auto" w:fill="auto"/>
          </w:tcPr>
          <w:p w:rsidR="001E66DB" w:rsidRPr="003C0950" w:rsidRDefault="001E66DB" w:rsidP="00B475ED">
            <w:pPr>
              <w:pStyle w:val="BodyText3"/>
              <w:shd w:val="clear" w:color="auto" w:fill="auto"/>
              <w:tabs>
                <w:tab w:val="left" w:pos="1701"/>
              </w:tabs>
              <w:spacing w:before="0" w:after="0" w:line="240" w:lineRule="auto"/>
              <w:ind w:right="743" w:firstLine="0"/>
              <w:rPr>
                <w:rFonts w:ascii="Times New Roman" w:hAnsi="Times New Roman" w:cs="Times New Roman"/>
                <w:sz w:val="20"/>
                <w:szCs w:val="20"/>
                <w:lang w:val="el-GR"/>
              </w:rPr>
            </w:pPr>
          </w:p>
        </w:tc>
      </w:tr>
    </w:tbl>
    <w:p w:rsidR="001E66DB" w:rsidRPr="00E820AE" w:rsidRDefault="001E66DB" w:rsidP="001E66DB">
      <w:pPr>
        <w:pStyle w:val="BodyText3"/>
        <w:tabs>
          <w:tab w:val="left" w:pos="1701"/>
        </w:tabs>
        <w:spacing w:before="0" w:after="0" w:line="240" w:lineRule="auto"/>
        <w:ind w:right="743" w:firstLine="360"/>
        <w:rPr>
          <w:rFonts w:ascii="Times New Roman" w:hAnsi="Times New Roman" w:cs="Times New Roman"/>
          <w:sz w:val="20"/>
          <w:szCs w:val="20"/>
          <w:lang w:val="el-GR"/>
        </w:rPr>
      </w:pPr>
    </w:p>
    <w:p w:rsidR="001E66DB" w:rsidRDefault="001E66DB" w:rsidP="001E66DB">
      <w:pPr>
        <w:tabs>
          <w:tab w:val="left" w:pos="1134"/>
        </w:tabs>
        <w:rPr>
          <w:rFonts w:ascii="Times New Roman" w:hAnsi="Times New Roman"/>
          <w:bCs/>
          <w:szCs w:val="26"/>
        </w:rPr>
      </w:pPr>
    </w:p>
    <w:p w:rsidR="003C3E26" w:rsidRDefault="003C3E26"/>
    <w:sectPr w:rsidR="003C3E26" w:rsidSect="001E66DB">
      <w:pgSz w:w="11906" w:h="16838"/>
      <w:pgMar w:top="1701" w:right="1559" w:bottom="14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6DB" w:rsidRDefault="001E66DB" w:rsidP="001E66DB">
      <w:pPr>
        <w:spacing w:line="240" w:lineRule="auto"/>
      </w:pPr>
      <w:r>
        <w:separator/>
      </w:r>
    </w:p>
  </w:endnote>
  <w:endnote w:type="continuationSeparator" w:id="0">
    <w:p w:rsidR="001E66DB" w:rsidRDefault="001E66DB" w:rsidP="001E6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6DB" w:rsidRDefault="001E66DB" w:rsidP="001E66DB">
      <w:pPr>
        <w:spacing w:line="240" w:lineRule="auto"/>
      </w:pPr>
      <w:r>
        <w:separator/>
      </w:r>
    </w:p>
  </w:footnote>
  <w:footnote w:type="continuationSeparator" w:id="0">
    <w:p w:rsidR="001E66DB" w:rsidRDefault="001E66DB" w:rsidP="001E66DB">
      <w:pPr>
        <w:spacing w:line="240" w:lineRule="auto"/>
      </w:pPr>
      <w:r>
        <w:continuationSeparator/>
      </w:r>
    </w:p>
  </w:footnote>
  <w:footnote w:id="1">
    <w:p w:rsidR="001E66DB" w:rsidRPr="00990E2E" w:rsidRDefault="001E66DB" w:rsidP="001E66DB">
      <w:pPr>
        <w:pStyle w:val="a3"/>
        <w:spacing w:line="240" w:lineRule="auto"/>
        <w:rPr>
          <w:rFonts w:ascii="Times New Roman" w:hAnsi="Times New Roman"/>
        </w:rPr>
      </w:pPr>
      <w:r w:rsidRPr="00990E2E">
        <w:rPr>
          <w:rStyle w:val="a4"/>
        </w:rPr>
        <w:footnoteRef/>
      </w:r>
      <w:r w:rsidRPr="00990E2E">
        <w:rPr>
          <w:rFonts w:ascii="Times New Roman" w:hAnsi="Times New Roman"/>
        </w:rPr>
        <w:t xml:space="preserve"> Οι αναφερόμενες διαδικασίες στο παρόν Υπόδειγμα είναι ενδεικτικές και προσαρμόζονται ανάλογα με τους όρους που θα συμφωνηθούν από τα εμπλεκόμενα μέρη στη σχετική επιστολή ανάθεσης έργου.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22D97"/>
    <w:multiLevelType w:val="hybridMultilevel"/>
    <w:tmpl w:val="825ED7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86E56D2"/>
    <w:multiLevelType w:val="hybridMultilevel"/>
    <w:tmpl w:val="E196BEC2"/>
    <w:lvl w:ilvl="0" w:tplc="04080001">
      <w:start w:val="1"/>
      <w:numFmt w:val="bullet"/>
      <w:lvlText w:val=""/>
      <w:lvlJc w:val="left"/>
      <w:pPr>
        <w:ind w:left="864" w:hanging="360"/>
      </w:pPr>
      <w:rPr>
        <w:rFonts w:ascii="Symbol" w:hAnsi="Symbol" w:hint="default"/>
      </w:rPr>
    </w:lvl>
    <w:lvl w:ilvl="1" w:tplc="04080003">
      <w:start w:val="1"/>
      <w:numFmt w:val="bullet"/>
      <w:lvlText w:val="o"/>
      <w:lvlJc w:val="left"/>
      <w:pPr>
        <w:ind w:left="1584" w:hanging="360"/>
      </w:pPr>
      <w:rPr>
        <w:rFonts w:ascii="Courier New" w:hAnsi="Courier New" w:cs="Courier New" w:hint="default"/>
      </w:rPr>
    </w:lvl>
    <w:lvl w:ilvl="2" w:tplc="04080005" w:tentative="1">
      <w:start w:val="1"/>
      <w:numFmt w:val="bullet"/>
      <w:lvlText w:val=""/>
      <w:lvlJc w:val="left"/>
      <w:pPr>
        <w:ind w:left="2304" w:hanging="360"/>
      </w:pPr>
      <w:rPr>
        <w:rFonts w:ascii="Wingdings" w:hAnsi="Wingdings" w:hint="default"/>
      </w:rPr>
    </w:lvl>
    <w:lvl w:ilvl="3" w:tplc="04080001" w:tentative="1">
      <w:start w:val="1"/>
      <w:numFmt w:val="bullet"/>
      <w:lvlText w:val=""/>
      <w:lvlJc w:val="left"/>
      <w:pPr>
        <w:ind w:left="3024" w:hanging="360"/>
      </w:pPr>
      <w:rPr>
        <w:rFonts w:ascii="Symbol" w:hAnsi="Symbol" w:hint="default"/>
      </w:rPr>
    </w:lvl>
    <w:lvl w:ilvl="4" w:tplc="04080003" w:tentative="1">
      <w:start w:val="1"/>
      <w:numFmt w:val="bullet"/>
      <w:lvlText w:val="o"/>
      <w:lvlJc w:val="left"/>
      <w:pPr>
        <w:ind w:left="3744" w:hanging="360"/>
      </w:pPr>
      <w:rPr>
        <w:rFonts w:ascii="Courier New" w:hAnsi="Courier New" w:cs="Courier New" w:hint="default"/>
      </w:rPr>
    </w:lvl>
    <w:lvl w:ilvl="5" w:tplc="04080005" w:tentative="1">
      <w:start w:val="1"/>
      <w:numFmt w:val="bullet"/>
      <w:lvlText w:val=""/>
      <w:lvlJc w:val="left"/>
      <w:pPr>
        <w:ind w:left="4464" w:hanging="360"/>
      </w:pPr>
      <w:rPr>
        <w:rFonts w:ascii="Wingdings" w:hAnsi="Wingdings" w:hint="default"/>
      </w:rPr>
    </w:lvl>
    <w:lvl w:ilvl="6" w:tplc="04080001" w:tentative="1">
      <w:start w:val="1"/>
      <w:numFmt w:val="bullet"/>
      <w:lvlText w:val=""/>
      <w:lvlJc w:val="left"/>
      <w:pPr>
        <w:ind w:left="5184" w:hanging="360"/>
      </w:pPr>
      <w:rPr>
        <w:rFonts w:ascii="Symbol" w:hAnsi="Symbol" w:hint="default"/>
      </w:rPr>
    </w:lvl>
    <w:lvl w:ilvl="7" w:tplc="04080003" w:tentative="1">
      <w:start w:val="1"/>
      <w:numFmt w:val="bullet"/>
      <w:lvlText w:val="o"/>
      <w:lvlJc w:val="left"/>
      <w:pPr>
        <w:ind w:left="5904" w:hanging="360"/>
      </w:pPr>
      <w:rPr>
        <w:rFonts w:ascii="Courier New" w:hAnsi="Courier New" w:cs="Courier New" w:hint="default"/>
      </w:rPr>
    </w:lvl>
    <w:lvl w:ilvl="8" w:tplc="04080005" w:tentative="1">
      <w:start w:val="1"/>
      <w:numFmt w:val="bullet"/>
      <w:lvlText w:val=""/>
      <w:lvlJc w:val="left"/>
      <w:pPr>
        <w:ind w:left="6624" w:hanging="360"/>
      </w:pPr>
      <w:rPr>
        <w:rFonts w:ascii="Wingdings" w:hAnsi="Wingdings" w:hint="default"/>
      </w:rPr>
    </w:lvl>
  </w:abstractNum>
  <w:abstractNum w:abstractNumId="2" w15:restartNumberingAfterBreak="0">
    <w:nsid w:val="266F18D8"/>
    <w:multiLevelType w:val="hybridMultilevel"/>
    <w:tmpl w:val="87BEF7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8B730BD"/>
    <w:multiLevelType w:val="multilevel"/>
    <w:tmpl w:val="0B181B4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B11F42"/>
    <w:multiLevelType w:val="multilevel"/>
    <w:tmpl w:val="E79A99F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i w:val="0"/>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64C1017"/>
    <w:multiLevelType w:val="hybridMultilevel"/>
    <w:tmpl w:val="72EC3D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A8F5033"/>
    <w:multiLevelType w:val="multilevel"/>
    <w:tmpl w:val="04080023"/>
    <w:lvl w:ilvl="0">
      <w:start w:val="1"/>
      <w:numFmt w:val="upperRoman"/>
      <w:pStyle w:val="1"/>
      <w:lvlText w:val="Άρθρο %1."/>
      <w:lvlJc w:val="left"/>
      <w:pPr>
        <w:tabs>
          <w:tab w:val="num" w:pos="1440"/>
        </w:tabs>
        <w:ind w:left="0" w:firstLine="0"/>
      </w:pPr>
    </w:lvl>
    <w:lvl w:ilvl="1">
      <w:start w:val="1"/>
      <w:numFmt w:val="decimalZero"/>
      <w:pStyle w:val="2"/>
      <w:isLgl/>
      <w:lvlText w:val="Ενότητα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7" w15:restartNumberingAfterBreak="0">
    <w:nsid w:val="6B7E7D28"/>
    <w:multiLevelType w:val="hybridMultilevel"/>
    <w:tmpl w:val="18C0C168"/>
    <w:lvl w:ilvl="0" w:tplc="04080001">
      <w:start w:val="1"/>
      <w:numFmt w:val="bullet"/>
      <w:lvlText w:val=""/>
      <w:lvlJc w:val="left"/>
      <w:pPr>
        <w:ind w:left="936" w:hanging="360"/>
      </w:pPr>
      <w:rPr>
        <w:rFonts w:ascii="Symbol" w:hAnsi="Symbol" w:hint="default"/>
      </w:rPr>
    </w:lvl>
    <w:lvl w:ilvl="1" w:tplc="04080003">
      <w:start w:val="1"/>
      <w:numFmt w:val="bullet"/>
      <w:lvlText w:val="o"/>
      <w:lvlJc w:val="left"/>
      <w:pPr>
        <w:ind w:left="1656" w:hanging="360"/>
      </w:pPr>
      <w:rPr>
        <w:rFonts w:ascii="Courier New" w:hAnsi="Courier New" w:cs="Courier New" w:hint="default"/>
      </w:rPr>
    </w:lvl>
    <w:lvl w:ilvl="2" w:tplc="04080005" w:tentative="1">
      <w:start w:val="1"/>
      <w:numFmt w:val="bullet"/>
      <w:lvlText w:val=""/>
      <w:lvlJc w:val="left"/>
      <w:pPr>
        <w:ind w:left="2376" w:hanging="360"/>
      </w:pPr>
      <w:rPr>
        <w:rFonts w:ascii="Wingdings" w:hAnsi="Wingdings" w:hint="default"/>
      </w:rPr>
    </w:lvl>
    <w:lvl w:ilvl="3" w:tplc="04080001" w:tentative="1">
      <w:start w:val="1"/>
      <w:numFmt w:val="bullet"/>
      <w:lvlText w:val=""/>
      <w:lvlJc w:val="left"/>
      <w:pPr>
        <w:ind w:left="3096" w:hanging="360"/>
      </w:pPr>
      <w:rPr>
        <w:rFonts w:ascii="Symbol" w:hAnsi="Symbol" w:hint="default"/>
      </w:rPr>
    </w:lvl>
    <w:lvl w:ilvl="4" w:tplc="04080003" w:tentative="1">
      <w:start w:val="1"/>
      <w:numFmt w:val="bullet"/>
      <w:lvlText w:val="o"/>
      <w:lvlJc w:val="left"/>
      <w:pPr>
        <w:ind w:left="3816" w:hanging="360"/>
      </w:pPr>
      <w:rPr>
        <w:rFonts w:ascii="Courier New" w:hAnsi="Courier New" w:cs="Courier New" w:hint="default"/>
      </w:rPr>
    </w:lvl>
    <w:lvl w:ilvl="5" w:tplc="04080005" w:tentative="1">
      <w:start w:val="1"/>
      <w:numFmt w:val="bullet"/>
      <w:lvlText w:val=""/>
      <w:lvlJc w:val="left"/>
      <w:pPr>
        <w:ind w:left="4536" w:hanging="360"/>
      </w:pPr>
      <w:rPr>
        <w:rFonts w:ascii="Wingdings" w:hAnsi="Wingdings" w:hint="default"/>
      </w:rPr>
    </w:lvl>
    <w:lvl w:ilvl="6" w:tplc="04080001" w:tentative="1">
      <w:start w:val="1"/>
      <w:numFmt w:val="bullet"/>
      <w:lvlText w:val=""/>
      <w:lvlJc w:val="left"/>
      <w:pPr>
        <w:ind w:left="5256" w:hanging="360"/>
      </w:pPr>
      <w:rPr>
        <w:rFonts w:ascii="Symbol" w:hAnsi="Symbol" w:hint="default"/>
      </w:rPr>
    </w:lvl>
    <w:lvl w:ilvl="7" w:tplc="04080003" w:tentative="1">
      <w:start w:val="1"/>
      <w:numFmt w:val="bullet"/>
      <w:lvlText w:val="o"/>
      <w:lvlJc w:val="left"/>
      <w:pPr>
        <w:ind w:left="5976" w:hanging="360"/>
      </w:pPr>
      <w:rPr>
        <w:rFonts w:ascii="Courier New" w:hAnsi="Courier New" w:cs="Courier New" w:hint="default"/>
      </w:rPr>
    </w:lvl>
    <w:lvl w:ilvl="8" w:tplc="04080005" w:tentative="1">
      <w:start w:val="1"/>
      <w:numFmt w:val="bullet"/>
      <w:lvlText w:val=""/>
      <w:lvlJc w:val="left"/>
      <w:pPr>
        <w:ind w:left="6696" w:hanging="360"/>
      </w:pPr>
      <w:rPr>
        <w:rFonts w:ascii="Wingdings" w:hAnsi="Wingdings" w:hint="default"/>
      </w:rPr>
    </w:lvl>
  </w:abstractNum>
  <w:abstractNum w:abstractNumId="8" w15:restartNumberingAfterBreak="0">
    <w:nsid w:val="79BA1DC9"/>
    <w:multiLevelType w:val="hybridMultilevel"/>
    <w:tmpl w:val="A5E2455E"/>
    <w:lvl w:ilvl="0" w:tplc="04080001">
      <w:start w:val="1"/>
      <w:numFmt w:val="bullet"/>
      <w:lvlText w:val=""/>
      <w:lvlJc w:val="left"/>
      <w:pPr>
        <w:ind w:left="1854" w:hanging="360"/>
      </w:pPr>
      <w:rPr>
        <w:rFonts w:ascii="Symbol" w:hAnsi="Symbol" w:hint="default"/>
      </w:rPr>
    </w:lvl>
    <w:lvl w:ilvl="1" w:tplc="04080003" w:tentative="1">
      <w:start w:val="1"/>
      <w:numFmt w:val="bullet"/>
      <w:lvlText w:val="o"/>
      <w:lvlJc w:val="left"/>
      <w:pPr>
        <w:ind w:left="2574" w:hanging="360"/>
      </w:pPr>
      <w:rPr>
        <w:rFonts w:ascii="Courier New" w:hAnsi="Courier New" w:cs="Courier New" w:hint="default"/>
      </w:rPr>
    </w:lvl>
    <w:lvl w:ilvl="2" w:tplc="04080005" w:tentative="1">
      <w:start w:val="1"/>
      <w:numFmt w:val="bullet"/>
      <w:lvlText w:val=""/>
      <w:lvlJc w:val="left"/>
      <w:pPr>
        <w:ind w:left="3294" w:hanging="360"/>
      </w:pPr>
      <w:rPr>
        <w:rFonts w:ascii="Wingdings" w:hAnsi="Wingdings" w:hint="default"/>
      </w:rPr>
    </w:lvl>
    <w:lvl w:ilvl="3" w:tplc="04080001" w:tentative="1">
      <w:start w:val="1"/>
      <w:numFmt w:val="bullet"/>
      <w:lvlText w:val=""/>
      <w:lvlJc w:val="left"/>
      <w:pPr>
        <w:ind w:left="4014" w:hanging="360"/>
      </w:pPr>
      <w:rPr>
        <w:rFonts w:ascii="Symbol" w:hAnsi="Symbol" w:hint="default"/>
      </w:rPr>
    </w:lvl>
    <w:lvl w:ilvl="4" w:tplc="04080003" w:tentative="1">
      <w:start w:val="1"/>
      <w:numFmt w:val="bullet"/>
      <w:lvlText w:val="o"/>
      <w:lvlJc w:val="left"/>
      <w:pPr>
        <w:ind w:left="4734" w:hanging="360"/>
      </w:pPr>
      <w:rPr>
        <w:rFonts w:ascii="Courier New" w:hAnsi="Courier New" w:cs="Courier New" w:hint="default"/>
      </w:rPr>
    </w:lvl>
    <w:lvl w:ilvl="5" w:tplc="04080005" w:tentative="1">
      <w:start w:val="1"/>
      <w:numFmt w:val="bullet"/>
      <w:lvlText w:val=""/>
      <w:lvlJc w:val="left"/>
      <w:pPr>
        <w:ind w:left="5454" w:hanging="360"/>
      </w:pPr>
      <w:rPr>
        <w:rFonts w:ascii="Wingdings" w:hAnsi="Wingdings" w:hint="default"/>
      </w:rPr>
    </w:lvl>
    <w:lvl w:ilvl="6" w:tplc="04080001" w:tentative="1">
      <w:start w:val="1"/>
      <w:numFmt w:val="bullet"/>
      <w:lvlText w:val=""/>
      <w:lvlJc w:val="left"/>
      <w:pPr>
        <w:ind w:left="6174" w:hanging="360"/>
      </w:pPr>
      <w:rPr>
        <w:rFonts w:ascii="Symbol" w:hAnsi="Symbol" w:hint="default"/>
      </w:rPr>
    </w:lvl>
    <w:lvl w:ilvl="7" w:tplc="04080003" w:tentative="1">
      <w:start w:val="1"/>
      <w:numFmt w:val="bullet"/>
      <w:lvlText w:val="o"/>
      <w:lvlJc w:val="left"/>
      <w:pPr>
        <w:ind w:left="6894" w:hanging="360"/>
      </w:pPr>
      <w:rPr>
        <w:rFonts w:ascii="Courier New" w:hAnsi="Courier New" w:cs="Courier New" w:hint="default"/>
      </w:rPr>
    </w:lvl>
    <w:lvl w:ilvl="8" w:tplc="04080005" w:tentative="1">
      <w:start w:val="1"/>
      <w:numFmt w:val="bullet"/>
      <w:lvlText w:val=""/>
      <w:lvlJc w:val="left"/>
      <w:pPr>
        <w:ind w:left="7614" w:hanging="360"/>
      </w:pPr>
      <w:rPr>
        <w:rFonts w:ascii="Wingdings" w:hAnsi="Wingdings" w:hint="default"/>
      </w:rPr>
    </w:lvl>
  </w:abstractNum>
  <w:num w:numId="1">
    <w:abstractNumId w:val="6"/>
  </w:num>
  <w:num w:numId="2">
    <w:abstractNumId w:val="7"/>
  </w:num>
  <w:num w:numId="3">
    <w:abstractNumId w:val="1"/>
  </w:num>
  <w:num w:numId="4">
    <w:abstractNumId w:val="4"/>
  </w:num>
  <w:num w:numId="5">
    <w:abstractNumId w:val="3"/>
  </w:num>
  <w:num w:numId="6">
    <w:abstractNumId w:val="8"/>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6DB"/>
    <w:rsid w:val="001E66DB"/>
    <w:rsid w:val="003C3E26"/>
    <w:rsid w:val="005E0E2A"/>
    <w:rsid w:val="006833AD"/>
    <w:rsid w:val="00C51A70"/>
    <w:rsid w:val="00F170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5978"/>
  <w15:chartTrackingRefBased/>
  <w15:docId w15:val="{C7C14572-9D26-4E2F-A12F-188EA634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1E66DB"/>
    <w:pPr>
      <w:spacing w:after="0" w:line="360" w:lineRule="atLeast"/>
      <w:jc w:val="both"/>
    </w:pPr>
    <w:rPr>
      <w:rFonts w:ascii="Arial" w:eastAsia="Times New Roman" w:hAnsi="Arial" w:cs="Times New Roman"/>
      <w:sz w:val="26"/>
      <w:szCs w:val="20"/>
      <w:lang w:eastAsia="el-GR"/>
    </w:rPr>
  </w:style>
  <w:style w:type="paragraph" w:styleId="1">
    <w:name w:val="heading 1"/>
    <w:basedOn w:val="a"/>
    <w:next w:val="a"/>
    <w:link w:val="1Char"/>
    <w:qFormat/>
    <w:rsid w:val="001E66DB"/>
    <w:pPr>
      <w:keepNext/>
      <w:numPr>
        <w:numId w:val="1"/>
      </w:numPr>
      <w:tabs>
        <w:tab w:val="left" w:pos="568"/>
        <w:tab w:val="left" w:pos="1134"/>
      </w:tabs>
      <w:ind w:right="405"/>
      <w:jc w:val="center"/>
      <w:outlineLvl w:val="0"/>
    </w:pPr>
    <w:rPr>
      <w:rFonts w:ascii="Times New Roman" w:hAnsi="Times New Roman"/>
      <w:b/>
      <w:i/>
    </w:rPr>
  </w:style>
  <w:style w:type="paragraph" w:styleId="2">
    <w:name w:val="heading 2"/>
    <w:basedOn w:val="a"/>
    <w:next w:val="a"/>
    <w:link w:val="2Char"/>
    <w:qFormat/>
    <w:rsid w:val="001E66DB"/>
    <w:pPr>
      <w:keepNext/>
      <w:numPr>
        <w:ilvl w:val="1"/>
        <w:numId w:val="1"/>
      </w:numPr>
      <w:tabs>
        <w:tab w:val="left" w:pos="567"/>
        <w:tab w:val="left" w:pos="851"/>
        <w:tab w:val="left" w:pos="1560"/>
      </w:tabs>
      <w:ind w:right="113"/>
      <w:jc w:val="center"/>
      <w:outlineLvl w:val="1"/>
    </w:pPr>
    <w:rPr>
      <w:rFonts w:ascii="Times New Roman" w:hAnsi="Times New Roman"/>
      <w:u w:val="double"/>
    </w:rPr>
  </w:style>
  <w:style w:type="paragraph" w:styleId="3">
    <w:name w:val="heading 3"/>
    <w:basedOn w:val="a"/>
    <w:next w:val="a"/>
    <w:link w:val="3Char"/>
    <w:qFormat/>
    <w:rsid w:val="001E66DB"/>
    <w:pPr>
      <w:keepNext/>
      <w:numPr>
        <w:ilvl w:val="2"/>
        <w:numId w:val="1"/>
      </w:numPr>
      <w:tabs>
        <w:tab w:val="left" w:pos="567"/>
        <w:tab w:val="left" w:pos="851"/>
        <w:tab w:val="left" w:pos="1560"/>
      </w:tabs>
      <w:ind w:right="113"/>
      <w:jc w:val="center"/>
      <w:outlineLvl w:val="2"/>
    </w:pPr>
    <w:rPr>
      <w:rFonts w:ascii="Courier New" w:hAnsi="Courier New"/>
      <w:b/>
      <w:sz w:val="28"/>
    </w:rPr>
  </w:style>
  <w:style w:type="paragraph" w:styleId="4">
    <w:name w:val="heading 4"/>
    <w:basedOn w:val="a"/>
    <w:next w:val="a"/>
    <w:link w:val="4Char"/>
    <w:qFormat/>
    <w:rsid w:val="001E66DB"/>
    <w:pPr>
      <w:keepNext/>
      <w:numPr>
        <w:ilvl w:val="3"/>
        <w:numId w:val="1"/>
      </w:numPr>
      <w:tabs>
        <w:tab w:val="left" w:pos="567"/>
        <w:tab w:val="left" w:pos="1560"/>
      </w:tabs>
      <w:ind w:right="113"/>
      <w:jc w:val="center"/>
      <w:outlineLvl w:val="3"/>
    </w:pPr>
    <w:rPr>
      <w:rFonts w:ascii="Times New Roman" w:hAnsi="Times New Roman"/>
      <w:u w:val="single"/>
    </w:rPr>
  </w:style>
  <w:style w:type="paragraph" w:styleId="5">
    <w:name w:val="heading 5"/>
    <w:basedOn w:val="a"/>
    <w:next w:val="a"/>
    <w:link w:val="5Char"/>
    <w:qFormat/>
    <w:rsid w:val="001E66DB"/>
    <w:pPr>
      <w:keepNext/>
      <w:numPr>
        <w:ilvl w:val="4"/>
        <w:numId w:val="1"/>
      </w:numPr>
      <w:tabs>
        <w:tab w:val="left" w:pos="567"/>
        <w:tab w:val="left" w:pos="851"/>
        <w:tab w:val="left" w:pos="1560"/>
      </w:tabs>
      <w:ind w:right="113"/>
      <w:jc w:val="center"/>
      <w:outlineLvl w:val="4"/>
    </w:pPr>
    <w:rPr>
      <w:rFonts w:ascii="Times New Roman" w:hAnsi="Times New Roman"/>
      <w:b/>
    </w:rPr>
  </w:style>
  <w:style w:type="paragraph" w:styleId="6">
    <w:name w:val="heading 6"/>
    <w:basedOn w:val="a"/>
    <w:next w:val="a"/>
    <w:link w:val="6Char"/>
    <w:qFormat/>
    <w:rsid w:val="001E66DB"/>
    <w:pPr>
      <w:keepNext/>
      <w:numPr>
        <w:ilvl w:val="5"/>
        <w:numId w:val="1"/>
      </w:numPr>
      <w:ind w:right="367"/>
      <w:jc w:val="center"/>
      <w:outlineLvl w:val="5"/>
    </w:pPr>
    <w:rPr>
      <w:rFonts w:ascii="Times New Roman" w:hAnsi="Times New Roman"/>
      <w:b/>
      <w:u w:val="double"/>
    </w:rPr>
  </w:style>
  <w:style w:type="paragraph" w:styleId="7">
    <w:name w:val="heading 7"/>
    <w:basedOn w:val="a"/>
    <w:next w:val="a"/>
    <w:link w:val="7Char"/>
    <w:qFormat/>
    <w:rsid w:val="001E66DB"/>
    <w:pPr>
      <w:keepNext/>
      <w:numPr>
        <w:ilvl w:val="6"/>
        <w:numId w:val="1"/>
      </w:numPr>
      <w:tabs>
        <w:tab w:val="left" w:pos="568"/>
        <w:tab w:val="left" w:pos="1134"/>
      </w:tabs>
      <w:spacing w:line="360" w:lineRule="auto"/>
      <w:ind w:right="403"/>
      <w:jc w:val="center"/>
      <w:outlineLvl w:val="6"/>
    </w:pPr>
    <w:rPr>
      <w:rFonts w:ascii="Times New Roman" w:hAnsi="Times New Roman"/>
      <w:b/>
      <w:i/>
    </w:rPr>
  </w:style>
  <w:style w:type="paragraph" w:styleId="8">
    <w:name w:val="heading 8"/>
    <w:basedOn w:val="a"/>
    <w:next w:val="a"/>
    <w:link w:val="8Char"/>
    <w:qFormat/>
    <w:rsid w:val="001E66DB"/>
    <w:pPr>
      <w:keepNext/>
      <w:numPr>
        <w:ilvl w:val="7"/>
        <w:numId w:val="1"/>
      </w:numPr>
      <w:tabs>
        <w:tab w:val="left" w:pos="568"/>
        <w:tab w:val="left" w:pos="1134"/>
      </w:tabs>
      <w:ind w:right="405"/>
      <w:jc w:val="center"/>
      <w:outlineLvl w:val="7"/>
    </w:pPr>
    <w:rPr>
      <w:rFonts w:ascii="Times New Roman" w:hAnsi="Times New Roman"/>
      <w:i/>
      <w:lang w:val="en-US"/>
    </w:rPr>
  </w:style>
  <w:style w:type="paragraph" w:styleId="9">
    <w:name w:val="heading 9"/>
    <w:basedOn w:val="a"/>
    <w:next w:val="a"/>
    <w:link w:val="9Char"/>
    <w:uiPriority w:val="99"/>
    <w:qFormat/>
    <w:rsid w:val="001E66DB"/>
    <w:pPr>
      <w:keepNext/>
      <w:numPr>
        <w:ilvl w:val="8"/>
        <w:numId w:val="1"/>
      </w:numPr>
      <w:tabs>
        <w:tab w:val="left" w:pos="568"/>
        <w:tab w:val="left" w:pos="1134"/>
      </w:tabs>
      <w:ind w:right="405"/>
      <w:jc w:val="center"/>
      <w:outlineLvl w:val="8"/>
    </w:pPr>
    <w:rPr>
      <w:rFonts w:ascii="Times New Roman" w:hAnsi="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1E66DB"/>
    <w:rPr>
      <w:rFonts w:ascii="Times New Roman" w:eastAsia="Times New Roman" w:hAnsi="Times New Roman" w:cs="Times New Roman"/>
      <w:b/>
      <w:i/>
      <w:sz w:val="26"/>
      <w:szCs w:val="20"/>
      <w:lang w:eastAsia="el-GR"/>
    </w:rPr>
  </w:style>
  <w:style w:type="character" w:customStyle="1" w:styleId="2Char">
    <w:name w:val="Επικεφαλίδα 2 Char"/>
    <w:basedOn w:val="a0"/>
    <w:link w:val="2"/>
    <w:rsid w:val="001E66DB"/>
    <w:rPr>
      <w:rFonts w:ascii="Times New Roman" w:eastAsia="Times New Roman" w:hAnsi="Times New Roman" w:cs="Times New Roman"/>
      <w:sz w:val="26"/>
      <w:szCs w:val="20"/>
      <w:u w:val="double"/>
      <w:lang w:eastAsia="el-GR"/>
    </w:rPr>
  </w:style>
  <w:style w:type="character" w:customStyle="1" w:styleId="3Char">
    <w:name w:val="Επικεφαλίδα 3 Char"/>
    <w:basedOn w:val="a0"/>
    <w:link w:val="3"/>
    <w:rsid w:val="001E66DB"/>
    <w:rPr>
      <w:rFonts w:ascii="Courier New" w:eastAsia="Times New Roman" w:hAnsi="Courier New" w:cs="Times New Roman"/>
      <w:b/>
      <w:sz w:val="28"/>
      <w:szCs w:val="20"/>
      <w:lang w:eastAsia="el-GR"/>
    </w:rPr>
  </w:style>
  <w:style w:type="character" w:customStyle="1" w:styleId="4Char">
    <w:name w:val="Επικεφαλίδα 4 Char"/>
    <w:basedOn w:val="a0"/>
    <w:link w:val="4"/>
    <w:rsid w:val="001E66DB"/>
    <w:rPr>
      <w:rFonts w:ascii="Times New Roman" w:eastAsia="Times New Roman" w:hAnsi="Times New Roman" w:cs="Times New Roman"/>
      <w:sz w:val="26"/>
      <w:szCs w:val="20"/>
      <w:u w:val="single"/>
      <w:lang w:eastAsia="el-GR"/>
    </w:rPr>
  </w:style>
  <w:style w:type="character" w:customStyle="1" w:styleId="5Char">
    <w:name w:val="Επικεφαλίδα 5 Char"/>
    <w:basedOn w:val="a0"/>
    <w:link w:val="5"/>
    <w:rsid w:val="001E66DB"/>
    <w:rPr>
      <w:rFonts w:ascii="Times New Roman" w:eastAsia="Times New Roman" w:hAnsi="Times New Roman" w:cs="Times New Roman"/>
      <w:b/>
      <w:sz w:val="26"/>
      <w:szCs w:val="20"/>
      <w:lang w:eastAsia="el-GR"/>
    </w:rPr>
  </w:style>
  <w:style w:type="character" w:customStyle="1" w:styleId="6Char">
    <w:name w:val="Επικεφαλίδα 6 Char"/>
    <w:basedOn w:val="a0"/>
    <w:link w:val="6"/>
    <w:rsid w:val="001E66DB"/>
    <w:rPr>
      <w:rFonts w:ascii="Times New Roman" w:eastAsia="Times New Roman" w:hAnsi="Times New Roman" w:cs="Times New Roman"/>
      <w:b/>
      <w:sz w:val="26"/>
      <w:szCs w:val="20"/>
      <w:u w:val="double"/>
      <w:lang w:eastAsia="el-GR"/>
    </w:rPr>
  </w:style>
  <w:style w:type="character" w:customStyle="1" w:styleId="7Char">
    <w:name w:val="Επικεφαλίδα 7 Char"/>
    <w:basedOn w:val="a0"/>
    <w:link w:val="7"/>
    <w:rsid w:val="001E66DB"/>
    <w:rPr>
      <w:rFonts w:ascii="Times New Roman" w:eastAsia="Times New Roman" w:hAnsi="Times New Roman" w:cs="Times New Roman"/>
      <w:b/>
      <w:i/>
      <w:sz w:val="26"/>
      <w:szCs w:val="20"/>
      <w:lang w:eastAsia="el-GR"/>
    </w:rPr>
  </w:style>
  <w:style w:type="character" w:customStyle="1" w:styleId="8Char">
    <w:name w:val="Επικεφαλίδα 8 Char"/>
    <w:basedOn w:val="a0"/>
    <w:link w:val="8"/>
    <w:rsid w:val="001E66DB"/>
    <w:rPr>
      <w:rFonts w:ascii="Times New Roman" w:eastAsia="Times New Roman" w:hAnsi="Times New Roman" w:cs="Times New Roman"/>
      <w:i/>
      <w:sz w:val="26"/>
      <w:szCs w:val="20"/>
      <w:lang w:val="en-US" w:eastAsia="el-GR"/>
    </w:rPr>
  </w:style>
  <w:style w:type="character" w:customStyle="1" w:styleId="9Char">
    <w:name w:val="Επικεφαλίδα 9 Char"/>
    <w:basedOn w:val="a0"/>
    <w:link w:val="9"/>
    <w:uiPriority w:val="99"/>
    <w:rsid w:val="001E66DB"/>
    <w:rPr>
      <w:rFonts w:ascii="Times New Roman" w:eastAsia="Times New Roman" w:hAnsi="Times New Roman" w:cs="Times New Roman"/>
      <w:b/>
      <w:sz w:val="26"/>
      <w:szCs w:val="20"/>
      <w:lang w:eastAsia="el-GR"/>
    </w:rPr>
  </w:style>
  <w:style w:type="paragraph" w:styleId="a3">
    <w:name w:val="footnote text"/>
    <w:aliases w:val="Footnote Text Char1,Footnote Text Char2,Footnote Text Char11,Footnote Text Char3,Footnote Text Char4,Footnote Text Char5,Footnote Text Char6,Footnote Text Char12,Footnote Text Char21,Footnote Text Char31, Ch"/>
    <w:basedOn w:val="a"/>
    <w:link w:val="Char"/>
    <w:uiPriority w:val="99"/>
    <w:rsid w:val="001E66DB"/>
    <w:rPr>
      <w:sz w:val="20"/>
    </w:rPr>
  </w:style>
  <w:style w:type="character" w:customStyle="1" w:styleId="Char">
    <w:name w:val="Κείμενο υποσημείωσης Char"/>
    <w:aliases w:val="Footnote Text Char1 Char1,Footnote Text Char2 Char1,Footnote Text Char11 Char1,Footnote Text Char3 Char1,Footnote Text Char4 Char1,Footnote Text Char5 Char1,Footnote Text Char6 Char1,Footnote Text Char12 Char1, Ch Char"/>
    <w:basedOn w:val="a0"/>
    <w:link w:val="a3"/>
    <w:uiPriority w:val="99"/>
    <w:rsid w:val="001E66DB"/>
    <w:rPr>
      <w:rFonts w:ascii="Arial" w:eastAsia="Times New Roman" w:hAnsi="Arial" w:cs="Times New Roman"/>
      <w:sz w:val="20"/>
      <w:szCs w:val="20"/>
      <w:lang w:eastAsia="el-GR"/>
    </w:rPr>
  </w:style>
  <w:style w:type="character" w:styleId="a4">
    <w:name w:val="footnote reference"/>
    <w:uiPriority w:val="99"/>
    <w:rsid w:val="001E66DB"/>
    <w:rPr>
      <w:vertAlign w:val="superscript"/>
    </w:rPr>
  </w:style>
  <w:style w:type="paragraph" w:styleId="a5">
    <w:name w:val="Body Text"/>
    <w:basedOn w:val="a"/>
    <w:link w:val="Char0"/>
    <w:rsid w:val="001E66DB"/>
    <w:pPr>
      <w:spacing w:after="120"/>
    </w:pPr>
  </w:style>
  <w:style w:type="character" w:customStyle="1" w:styleId="Char0">
    <w:name w:val="Σώμα κειμένου Char"/>
    <w:basedOn w:val="a0"/>
    <w:link w:val="a5"/>
    <w:rsid w:val="001E66DB"/>
    <w:rPr>
      <w:rFonts w:ascii="Arial" w:eastAsia="Times New Roman" w:hAnsi="Arial" w:cs="Times New Roman"/>
      <w:sz w:val="26"/>
      <w:szCs w:val="20"/>
      <w:lang w:eastAsia="el-GR"/>
    </w:rPr>
  </w:style>
  <w:style w:type="paragraph" w:styleId="a6">
    <w:name w:val="List Paragraph"/>
    <w:basedOn w:val="a"/>
    <w:uiPriority w:val="34"/>
    <w:qFormat/>
    <w:rsid w:val="001E66DB"/>
    <w:pPr>
      <w:spacing w:after="200" w:line="276" w:lineRule="auto"/>
      <w:ind w:left="720"/>
      <w:contextualSpacing/>
      <w:jc w:val="left"/>
    </w:pPr>
    <w:rPr>
      <w:rFonts w:ascii="Calibri" w:eastAsia="Calibri" w:hAnsi="Calibri"/>
      <w:sz w:val="22"/>
      <w:szCs w:val="22"/>
      <w:lang w:eastAsia="en-US"/>
    </w:rPr>
  </w:style>
  <w:style w:type="paragraph" w:customStyle="1" w:styleId="BodyText3">
    <w:name w:val="Body Text3"/>
    <w:basedOn w:val="a"/>
    <w:rsid w:val="001E66DB"/>
    <w:pPr>
      <w:shd w:val="clear" w:color="auto" w:fill="FFFFFF"/>
      <w:suppressAutoHyphens/>
      <w:spacing w:before="420" w:after="180" w:line="256" w:lineRule="exact"/>
      <w:ind w:hanging="420"/>
    </w:pPr>
    <w:rPr>
      <w:rFonts w:ascii="Georgia" w:hAnsi="Georgia" w:cs="Georgia"/>
      <w:color w:val="000000"/>
      <w:sz w:val="19"/>
      <w:szCs w:val="19"/>
      <w:lang w:val="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3237</Words>
  <Characters>17482</Characters>
  <Application>Microsoft Office Word</Application>
  <DocSecurity>0</DocSecurity>
  <Lines>145</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Despoina Tsotra</dc:creator>
  <cp:keywords/>
  <dc:description/>
  <cp:lastModifiedBy>Despoina Tsotra</cp:lastModifiedBy>
  <cp:revision>3</cp:revision>
  <dcterms:created xsi:type="dcterms:W3CDTF">2017-05-10T06:49:00Z</dcterms:created>
  <dcterms:modified xsi:type="dcterms:W3CDTF">2017-05-10T07:12:00Z</dcterms:modified>
</cp:coreProperties>
</file>