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D7854" w:rsidRPr="00BE68E4" w:rsidRDefault="00DD7854" w:rsidP="00DD7854">
      <w:pPr>
        <w:spacing w:line="360" w:lineRule="exact"/>
        <w:rPr>
          <w:rFonts w:asciiTheme="minorHAnsi" w:hAnsiTheme="minorHAnsi" w:cstheme="minorHAnsi"/>
          <w:b/>
          <w:sz w:val="24"/>
          <w:szCs w:val="24"/>
        </w:rPr>
      </w:pPr>
      <w:bookmarkStart w:id="0" w:name="_GoBack"/>
      <w:bookmarkEnd w:id="0"/>
      <w:r w:rsidRPr="00BE68E4">
        <w:rPr>
          <w:rFonts w:asciiTheme="minorHAnsi" w:hAnsiTheme="minorHAnsi" w:cstheme="minorHAnsi"/>
          <w:b/>
          <w:bCs/>
          <w:sz w:val="24"/>
          <w:szCs w:val="24"/>
        </w:rPr>
        <w:t xml:space="preserve">ΕΚΘΕΣΗ ΔΙΑΣΦΑΛΙΣΗΣ </w:t>
      </w:r>
      <w:r w:rsidRPr="00BE68E4">
        <w:rPr>
          <w:rFonts w:asciiTheme="minorHAnsi" w:hAnsiTheme="minorHAnsi" w:cstheme="minorHAnsi"/>
          <w:b/>
          <w:sz w:val="24"/>
          <w:szCs w:val="24"/>
        </w:rPr>
        <w:t xml:space="preserve">ΑΝΕΞΑΡΤΗΤΟΥ ΟΡΚΩΤΟΥ ΕΛΕΓΚΤΗ ΛΟΓΙΣΤΗ ΣΧΕΤΙΚΑ ΜΕ ΤΗΝ </w:t>
      </w:r>
      <w:r w:rsidRPr="00BE68E4">
        <w:rPr>
          <w:rFonts w:asciiTheme="minorHAnsi" w:hAnsiTheme="minorHAnsi" w:cstheme="minorHAnsi"/>
          <w:b/>
          <w:bCs/>
          <w:sz w:val="24"/>
          <w:szCs w:val="24"/>
        </w:rPr>
        <w:t>ΑΞΙΟΛΟΓΗΣΗ ΤΗΣ ΕΠΑΡΚΕΙΑΣ ΤΩΝ ΜΕΤΡΩΝ ΠΟΥ ΕΧΕΙ ΛΑΒΕΙ Η</w:t>
      </w:r>
      <w:r w:rsidRPr="00BE68E4">
        <w:rPr>
          <w:rFonts w:asciiTheme="minorHAnsi" w:hAnsiTheme="minorHAnsi" w:cstheme="minorHAnsi"/>
          <w:b/>
          <w:sz w:val="24"/>
          <w:szCs w:val="24"/>
        </w:rPr>
        <w:t xml:space="preserve"> ΕΤΑΙΡΕΙΑ ΑΒΓ</w:t>
      </w:r>
      <w:r w:rsidRPr="00BE68E4">
        <w:rPr>
          <w:rFonts w:asciiTheme="minorHAnsi" w:hAnsiTheme="minorHAnsi" w:cstheme="minorHAnsi"/>
          <w:b/>
          <w:bCs/>
          <w:sz w:val="24"/>
          <w:szCs w:val="24"/>
        </w:rPr>
        <w:t xml:space="preserve"> ΤΗΝ 31</w:t>
      </w:r>
      <w:r w:rsidRPr="00BE68E4">
        <w:rPr>
          <w:rFonts w:asciiTheme="minorHAnsi" w:hAnsiTheme="minorHAnsi" w:cstheme="minorHAnsi"/>
          <w:b/>
          <w:bCs/>
          <w:sz w:val="24"/>
          <w:szCs w:val="24"/>
          <w:vertAlign w:val="superscript"/>
        </w:rPr>
        <w:t>Η</w:t>
      </w:r>
      <w:r w:rsidRPr="00BE68E4">
        <w:rPr>
          <w:rFonts w:asciiTheme="minorHAnsi" w:hAnsiTheme="minorHAnsi" w:cstheme="minorHAnsi"/>
          <w:b/>
          <w:bCs/>
          <w:sz w:val="24"/>
          <w:szCs w:val="24"/>
        </w:rPr>
        <w:t xml:space="preserve"> ΔΕΚΕΜΒΡΙΟΥ 20ΧΧ ΣΤΑ ΠΛΑΙΣΙΑ ΤΩΝ ΠΑΡΑΓΡΑΦΩΝ 8, 9 ΚΑΙ 10 ΤΟΥ ΑΡΘΡΟΥ 16 Ν.4514/2018 ΚΑΙ ΤΩΝ ΑΡΘΡΩΝ 2 ΕΩΣ 7 ΤΗΣ ΑΠΟΦΑΣΗΣ 1/808/7.2.2018 ΤΗΣ ΕΠΙΤΡΟΠΗΣ ΚΕΦΑΛΑΙΑΓΟΡΑΣ</w:t>
      </w:r>
    </w:p>
    <w:p w:rsidR="00DD7854" w:rsidRPr="00BE68E4" w:rsidRDefault="00DD7854" w:rsidP="00DD7854">
      <w:pPr>
        <w:spacing w:line="360" w:lineRule="exact"/>
        <w:rPr>
          <w:rFonts w:asciiTheme="minorHAnsi" w:hAnsiTheme="minorHAnsi" w:cstheme="minorHAnsi"/>
          <w:sz w:val="24"/>
          <w:szCs w:val="24"/>
        </w:rPr>
      </w:pPr>
    </w:p>
    <w:p w:rsidR="00DD7854" w:rsidRPr="00BE68E4" w:rsidRDefault="00DD7854" w:rsidP="00DD7854">
      <w:pPr>
        <w:pStyle w:val="a4"/>
        <w:rPr>
          <w:rFonts w:asciiTheme="minorHAnsi" w:hAnsiTheme="minorHAnsi" w:cstheme="minorHAnsi"/>
          <w:szCs w:val="24"/>
        </w:rPr>
      </w:pPr>
    </w:p>
    <w:p w:rsidR="00DD7854" w:rsidRPr="00BE68E4" w:rsidRDefault="00DD7854" w:rsidP="00DD7854">
      <w:pPr>
        <w:pStyle w:val="a4"/>
        <w:rPr>
          <w:rFonts w:asciiTheme="minorHAnsi" w:hAnsiTheme="minorHAnsi" w:cstheme="minorHAnsi"/>
          <w:szCs w:val="24"/>
        </w:rPr>
      </w:pPr>
      <w:r w:rsidRPr="00BE68E4">
        <w:rPr>
          <w:rFonts w:asciiTheme="minorHAnsi" w:hAnsiTheme="minorHAnsi" w:cstheme="minorHAnsi"/>
          <w:szCs w:val="24"/>
        </w:rPr>
        <w:t>Προς το Διοικητικό Συμβούλιο της εταιρείας ΑΒΓ</w:t>
      </w:r>
    </w:p>
    <w:p w:rsidR="00DD7854" w:rsidRPr="00BE68E4" w:rsidRDefault="00DD7854" w:rsidP="00DD7854">
      <w:pPr>
        <w:pStyle w:val="a4"/>
        <w:rPr>
          <w:rFonts w:asciiTheme="minorHAnsi" w:hAnsiTheme="minorHAnsi" w:cstheme="minorHAnsi"/>
          <w:szCs w:val="24"/>
        </w:rPr>
      </w:pPr>
    </w:p>
    <w:p w:rsidR="00DD7854" w:rsidRPr="00BE68E4" w:rsidRDefault="00DD7854" w:rsidP="00DD7854">
      <w:pPr>
        <w:pStyle w:val="a4"/>
        <w:rPr>
          <w:rFonts w:asciiTheme="minorHAnsi" w:hAnsiTheme="minorHAnsi" w:cstheme="minorHAnsi"/>
          <w:szCs w:val="24"/>
        </w:rPr>
      </w:pPr>
      <w:r w:rsidRPr="00BE68E4">
        <w:rPr>
          <w:rFonts w:asciiTheme="minorHAnsi" w:hAnsiTheme="minorHAnsi" w:cstheme="minorHAnsi"/>
          <w:szCs w:val="24"/>
        </w:rPr>
        <w:t>(για κοινοποίηση στην Επιτροπή Κεφαλαιαγοράς)</w:t>
      </w:r>
    </w:p>
    <w:p w:rsidR="00DD7854" w:rsidRPr="00BE68E4" w:rsidRDefault="00DD7854" w:rsidP="00DD7854">
      <w:pPr>
        <w:pStyle w:val="a4"/>
        <w:rPr>
          <w:rFonts w:asciiTheme="minorHAnsi" w:hAnsiTheme="minorHAnsi" w:cstheme="minorHAnsi"/>
          <w:szCs w:val="24"/>
        </w:rPr>
      </w:pPr>
    </w:p>
    <w:p w:rsidR="00DD7854" w:rsidRPr="00BE68E4" w:rsidRDefault="00DD7854" w:rsidP="00DD7854">
      <w:pPr>
        <w:pStyle w:val="1"/>
        <w:jc w:val="both"/>
        <w:rPr>
          <w:rFonts w:asciiTheme="minorHAnsi" w:hAnsiTheme="minorHAnsi" w:cstheme="minorHAnsi"/>
          <w:sz w:val="24"/>
        </w:rPr>
      </w:pPr>
    </w:p>
    <w:p w:rsidR="00DD7854" w:rsidRPr="00BE68E4" w:rsidRDefault="00DD7854" w:rsidP="00DD7854">
      <w:pPr>
        <w:pStyle w:val="a4"/>
        <w:spacing w:after="240" w:line="276" w:lineRule="auto"/>
        <w:rPr>
          <w:rFonts w:asciiTheme="minorHAnsi" w:hAnsiTheme="minorHAnsi" w:cstheme="minorHAnsi"/>
          <w:szCs w:val="24"/>
        </w:rPr>
      </w:pPr>
      <w:r w:rsidRPr="00BE68E4">
        <w:rPr>
          <w:rFonts w:asciiTheme="minorHAnsi" w:hAnsiTheme="minorHAnsi" w:cstheme="minorHAnsi"/>
          <w:szCs w:val="24"/>
        </w:rPr>
        <w:t>Αξιότιμοι κύριοι,</w:t>
      </w:r>
    </w:p>
    <w:p w:rsidR="00DD7854" w:rsidRPr="00BE68E4" w:rsidRDefault="00DD7854" w:rsidP="00DD7854">
      <w:pPr>
        <w:pStyle w:val="a4"/>
        <w:spacing w:after="240" w:line="276" w:lineRule="auto"/>
        <w:rPr>
          <w:rFonts w:asciiTheme="minorHAnsi" w:hAnsiTheme="minorHAnsi" w:cstheme="minorHAnsi"/>
          <w:szCs w:val="24"/>
        </w:rPr>
      </w:pPr>
      <w:r w:rsidRPr="00BE68E4">
        <w:rPr>
          <w:rFonts w:asciiTheme="minorHAnsi" w:hAnsiTheme="minorHAnsi" w:cstheme="minorHAnsi"/>
          <w:szCs w:val="24"/>
        </w:rPr>
        <w:t>Με την παρούσα Έκθεση θέτουμε υπόψη σας τα αποτελέσματα της εργασίας που διενεργήσαμε με βάση την από ΗΗ/ΜΜ/20ΧΧ μεταξύ μας σύμβαση ανάθεσης, σύμφωνα με το άρθρο 8 της απόφασης 1/808/7.2.2018 της Επιτροπής Κεφαλαιαγοράς, με σκοπό την αξιολόγηση της επάρκειας των μέτρων που έλαβε η εταιρεία ΑΒΓ (εφεξής η “Εταιρεία”) την 31</w:t>
      </w:r>
      <w:r w:rsidRPr="00BE68E4">
        <w:rPr>
          <w:rFonts w:asciiTheme="minorHAnsi" w:hAnsiTheme="minorHAnsi" w:cstheme="minorHAnsi"/>
          <w:szCs w:val="24"/>
          <w:vertAlign w:val="superscript"/>
        </w:rPr>
        <w:t>η</w:t>
      </w:r>
      <w:r w:rsidRPr="00BE68E4">
        <w:rPr>
          <w:rFonts w:asciiTheme="minorHAnsi" w:hAnsiTheme="minorHAnsi" w:cstheme="minorHAnsi"/>
          <w:szCs w:val="24"/>
        </w:rPr>
        <w:t xml:space="preserve"> Δεκεμβρίου 20ΧΧ, σύμφωνα με τις παραγράφους 8, 9 και 10 του άρθρου 16 του Ν. 4514/2018 και των άρθρων 2 έως 7 της απόφασης 1/808/7.2.2018 της Επιτροπής Κεφαλαιαγοράς, σε σχέση με την προστασία και κατάθεση των χρηματοπιστωτικών μέσων και κεφαλαίων των πελατών, καθώς και με τη χρησιμοποίηση χρηματοπιστωτικών μέσων των πελατών.</w:t>
      </w:r>
    </w:p>
    <w:p w:rsidR="00DD7854" w:rsidRPr="00BE68E4" w:rsidRDefault="00DD7854" w:rsidP="00DD7854">
      <w:pPr>
        <w:pStyle w:val="a4"/>
        <w:spacing w:after="240" w:line="276" w:lineRule="auto"/>
        <w:rPr>
          <w:rFonts w:asciiTheme="minorHAnsi" w:hAnsiTheme="minorHAnsi" w:cstheme="minorHAnsi"/>
          <w:szCs w:val="24"/>
        </w:rPr>
      </w:pPr>
      <w:r w:rsidRPr="00BE68E4">
        <w:rPr>
          <w:rFonts w:asciiTheme="minorHAnsi" w:hAnsiTheme="minorHAnsi" w:cstheme="minorHAnsi"/>
          <w:szCs w:val="24"/>
        </w:rPr>
        <w:t>Η εργασία μας διενεργήθηκε σύμφωνα με το Διεθνές Πρότυπο Αναθέσεων Διασφάλισης 3000 “Έργα Διασφάλισης πέραν του Ελέγχου ή Επισκόπησης Ιστορικής Οικονομικής Πληροφόρησης” (ISAE 3000).</w:t>
      </w:r>
    </w:p>
    <w:p w:rsidR="00DD7854" w:rsidRPr="00BE68E4" w:rsidRDefault="00DD7854" w:rsidP="00DD7854">
      <w:pPr>
        <w:pStyle w:val="1"/>
        <w:jc w:val="both"/>
        <w:rPr>
          <w:rFonts w:asciiTheme="minorHAnsi" w:hAnsiTheme="minorHAnsi" w:cstheme="minorHAnsi"/>
          <w:sz w:val="24"/>
        </w:rPr>
      </w:pPr>
    </w:p>
    <w:p w:rsidR="00DD7854" w:rsidRPr="00BE68E4" w:rsidRDefault="00DD7854" w:rsidP="00DD7854">
      <w:pPr>
        <w:pStyle w:val="1"/>
        <w:spacing w:after="130" w:line="276" w:lineRule="auto"/>
        <w:rPr>
          <w:rFonts w:asciiTheme="minorHAnsi" w:hAnsiTheme="minorHAnsi" w:cstheme="minorHAnsi"/>
          <w:sz w:val="24"/>
        </w:rPr>
      </w:pPr>
      <w:r w:rsidRPr="00BE68E4">
        <w:rPr>
          <w:rFonts w:asciiTheme="minorHAnsi" w:hAnsiTheme="minorHAnsi" w:cstheme="minorHAnsi"/>
          <w:sz w:val="24"/>
        </w:rPr>
        <w:t>Κανονιστικό πλαίσιο</w:t>
      </w:r>
    </w:p>
    <w:p w:rsidR="00DD7854" w:rsidRPr="00BE68E4" w:rsidRDefault="00DD7854" w:rsidP="00DD7854">
      <w:pPr>
        <w:pStyle w:val="a4"/>
        <w:spacing w:after="240" w:line="276" w:lineRule="auto"/>
        <w:rPr>
          <w:rFonts w:asciiTheme="minorHAnsi" w:hAnsiTheme="minorHAnsi" w:cstheme="minorHAnsi"/>
          <w:szCs w:val="24"/>
        </w:rPr>
      </w:pPr>
      <w:r w:rsidRPr="00BE68E4">
        <w:rPr>
          <w:rFonts w:asciiTheme="minorHAnsi" w:hAnsiTheme="minorHAnsi" w:cstheme="minorHAnsi"/>
          <w:szCs w:val="24"/>
        </w:rPr>
        <w:t xml:space="preserve">Ο Νόμος 4514/2018 στις παραγράφους 8, 9 και 10 του άρθρου 16, ορίζει για τις Ανώνυμες Εταιρείες Παροχής Επενδυτικών Υπηρεσιών (εφεξής “ΑΕΠΕΥ”) ότι: </w:t>
      </w:r>
    </w:p>
    <w:p w:rsidR="00DD7854" w:rsidRPr="00BE68E4" w:rsidRDefault="00DD7854" w:rsidP="00DD7854">
      <w:pPr>
        <w:pStyle w:val="a4"/>
        <w:spacing w:after="240" w:line="276" w:lineRule="auto"/>
        <w:rPr>
          <w:rFonts w:asciiTheme="minorHAnsi" w:hAnsiTheme="minorHAnsi" w:cstheme="minorHAnsi"/>
          <w:i/>
          <w:szCs w:val="24"/>
        </w:rPr>
      </w:pPr>
      <w:r w:rsidRPr="00BE68E4">
        <w:rPr>
          <w:rFonts w:asciiTheme="minorHAnsi" w:hAnsiTheme="minorHAnsi" w:cstheme="minorHAnsi"/>
          <w:i/>
          <w:szCs w:val="24"/>
        </w:rPr>
        <w:t xml:space="preserve">“8. Εάν η ΑΕΠΕΥ κατέχει χρηματοπιστωτικά μέσα που ανήκουν σε πελάτες, διαθέτει κατάλληλες ρυθμίσεις για να προστατεύσει τα δικαιώματα κυριότητας των πελατών, ιδίως σε περίπτωση αφερεγγυότητας της ΑΕΠΕΥ και να αποτρέψει τη χρησιμοποίηση χρηματοπιστωτικών μέσων πελάτη για ίδιο λογαριασμό, εκτός εάν ο πελάτης έχει δώσει τη ρητή συγκατάθεσή του. </w:t>
      </w:r>
    </w:p>
    <w:p w:rsidR="00DD7854" w:rsidRPr="00BE68E4" w:rsidRDefault="00DD7854" w:rsidP="00DD7854">
      <w:pPr>
        <w:pStyle w:val="a4"/>
        <w:spacing w:after="240" w:line="276" w:lineRule="auto"/>
        <w:rPr>
          <w:rFonts w:asciiTheme="minorHAnsi" w:hAnsiTheme="minorHAnsi" w:cstheme="minorHAnsi"/>
          <w:i/>
          <w:szCs w:val="24"/>
        </w:rPr>
      </w:pPr>
      <w:r w:rsidRPr="00BE68E4">
        <w:rPr>
          <w:rFonts w:asciiTheme="minorHAnsi" w:hAnsiTheme="minorHAnsi" w:cstheme="minorHAnsi"/>
          <w:i/>
          <w:szCs w:val="24"/>
        </w:rPr>
        <w:t xml:space="preserve">9. Εάν η ΑΕΠΕΥ κατέχει κεφάλαια πελατών, θεσπίζει κατάλληλες ρυθμίσεις για να προστατεύσει τα δικαιώματα των πελατών και, εκτός από την περίπτωση των πιστωτικών ιδρυμάτων, να αποτρέψει τη χρησιμοποίηση κεφαλαίων πελατών για ίδιο λογαριασμό. </w:t>
      </w:r>
    </w:p>
    <w:p w:rsidR="00DD7854" w:rsidRPr="00BE68E4" w:rsidRDefault="00DD7854" w:rsidP="00DD7854">
      <w:pPr>
        <w:pStyle w:val="a4"/>
        <w:spacing w:after="240" w:line="276" w:lineRule="auto"/>
        <w:rPr>
          <w:rFonts w:asciiTheme="minorHAnsi" w:hAnsiTheme="minorHAnsi" w:cstheme="minorHAnsi"/>
          <w:szCs w:val="24"/>
        </w:rPr>
      </w:pPr>
      <w:r w:rsidRPr="00BE68E4">
        <w:rPr>
          <w:rFonts w:asciiTheme="minorHAnsi" w:hAnsiTheme="minorHAnsi" w:cstheme="minorHAnsi"/>
          <w:i/>
          <w:szCs w:val="24"/>
        </w:rPr>
        <w:lastRenderedPageBreak/>
        <w:t>10. Η ΑΕΠΕΥ δεν συνάπτει συμφωνίες παροχής χρηματοοικονομικής ασφάλειας με μεταβίβαση τίτλου με ιδιώτες πελάτες με σκοπό την κάλυψη παρουσών ή μελλοντικών, υφιστάμενων, εξαρτώμενων από αβέβαια περιστατικά ή αναμενόμενων υποχρεώσεων πελατών.”</w:t>
      </w:r>
    </w:p>
    <w:p w:rsidR="00DD7854" w:rsidRPr="00BE68E4" w:rsidRDefault="00DD7854" w:rsidP="00DD7854">
      <w:pPr>
        <w:pStyle w:val="a4"/>
        <w:spacing w:after="240" w:line="276" w:lineRule="auto"/>
        <w:rPr>
          <w:rFonts w:asciiTheme="minorHAnsi" w:hAnsiTheme="minorHAnsi" w:cstheme="minorHAnsi"/>
          <w:szCs w:val="24"/>
        </w:rPr>
      </w:pPr>
      <w:r w:rsidRPr="00BE68E4">
        <w:rPr>
          <w:rFonts w:asciiTheme="minorHAnsi" w:hAnsiTheme="minorHAnsi" w:cstheme="minorHAnsi"/>
          <w:szCs w:val="24"/>
        </w:rPr>
        <w:t>Με την απόφαση 1/808/7.2.2018 της Επιτροπής Κεφαλαιαγοράς</w:t>
      </w:r>
      <w:r w:rsidRPr="00BE68E4" w:rsidDel="00276915">
        <w:rPr>
          <w:rFonts w:asciiTheme="minorHAnsi" w:hAnsiTheme="minorHAnsi" w:cstheme="minorHAnsi"/>
          <w:szCs w:val="24"/>
        </w:rPr>
        <w:t xml:space="preserve"> </w:t>
      </w:r>
      <w:r w:rsidRPr="00BE68E4">
        <w:rPr>
          <w:rFonts w:asciiTheme="minorHAnsi" w:hAnsiTheme="minorHAnsi" w:cstheme="minorHAnsi"/>
          <w:szCs w:val="24"/>
        </w:rPr>
        <w:t xml:space="preserve"> (κεφάλαιο 2) εξειδικεύονται οι διαδικασίες και οι όροι της τήρησης των ανωτέρω διατάξεων ως προς την προστασία και κατάθεση των χρηματοπιστωτικών μέσων και κεφαλαίων πελατών, καθώς και τη χρησιμοποίηση χρηματοπιστωτικών μέσων των πελατών.</w:t>
      </w:r>
    </w:p>
    <w:p w:rsidR="00DD7854" w:rsidRPr="00BE68E4" w:rsidRDefault="00DD7854" w:rsidP="00DD7854">
      <w:pPr>
        <w:pStyle w:val="1"/>
        <w:jc w:val="both"/>
        <w:rPr>
          <w:rFonts w:asciiTheme="minorHAnsi" w:hAnsiTheme="minorHAnsi" w:cstheme="minorHAnsi"/>
          <w:sz w:val="24"/>
        </w:rPr>
      </w:pPr>
    </w:p>
    <w:p w:rsidR="00DD7854" w:rsidRPr="00BE68E4" w:rsidRDefault="00DD7854" w:rsidP="00DD7854">
      <w:pPr>
        <w:pStyle w:val="a4"/>
        <w:spacing w:after="240" w:line="276" w:lineRule="auto"/>
        <w:rPr>
          <w:rFonts w:asciiTheme="minorHAnsi" w:hAnsiTheme="minorHAnsi" w:cstheme="minorHAnsi"/>
          <w:b/>
          <w:szCs w:val="24"/>
        </w:rPr>
      </w:pPr>
      <w:r w:rsidRPr="00BE68E4">
        <w:rPr>
          <w:rFonts w:asciiTheme="minorHAnsi" w:hAnsiTheme="minorHAnsi" w:cstheme="minorHAnsi"/>
          <w:b/>
          <w:szCs w:val="24"/>
        </w:rPr>
        <w:t xml:space="preserve">Ευθύνη της διοίκησης </w:t>
      </w:r>
    </w:p>
    <w:p w:rsidR="00DD7854" w:rsidRPr="00BE68E4" w:rsidRDefault="00DD7854" w:rsidP="00DD7854">
      <w:pPr>
        <w:pStyle w:val="a4"/>
        <w:spacing w:after="240" w:line="276" w:lineRule="auto"/>
        <w:rPr>
          <w:rFonts w:asciiTheme="minorHAnsi" w:hAnsiTheme="minorHAnsi" w:cstheme="minorHAnsi"/>
          <w:szCs w:val="24"/>
        </w:rPr>
      </w:pPr>
      <w:r w:rsidRPr="00BE68E4">
        <w:rPr>
          <w:rFonts w:asciiTheme="minorHAnsi" w:hAnsiTheme="minorHAnsi" w:cstheme="minorHAnsi"/>
          <w:szCs w:val="24"/>
        </w:rPr>
        <w:t>Η διοίκηση της Εταιρείας ευθύνεται για τη συμμόρφωση με τις απαιτήσεις των παραγράφων 8, 9 και 10 του άρθρου 16 του Ν. 4514/2018 και των άρθρων 2 έως 7 της απόφασης 1/808/7.2.2018 της Επιτροπής Κεφαλαιαγοράς</w:t>
      </w:r>
      <w:r w:rsidRPr="00BE68E4" w:rsidDel="00252AC6">
        <w:rPr>
          <w:rFonts w:asciiTheme="minorHAnsi" w:hAnsiTheme="minorHAnsi" w:cstheme="minorHAnsi"/>
          <w:szCs w:val="24"/>
        </w:rPr>
        <w:t xml:space="preserve"> </w:t>
      </w:r>
      <w:r w:rsidRPr="00BE68E4">
        <w:rPr>
          <w:rFonts w:asciiTheme="minorHAnsi" w:hAnsiTheme="minorHAnsi" w:cstheme="minorHAnsi"/>
          <w:szCs w:val="24"/>
        </w:rPr>
        <w:t>, σχετικά με την επάρκεια των μέτρων για την προστασία και κατάθεση χρηματοπιστωτικών μέσων και κεφαλαίων πελατών, καθώς και τη χρησιμοποίησή τους.</w:t>
      </w:r>
    </w:p>
    <w:p w:rsidR="00DD7854" w:rsidRPr="00BE68E4" w:rsidRDefault="00DD7854" w:rsidP="00DD7854">
      <w:pPr>
        <w:pStyle w:val="a4"/>
        <w:rPr>
          <w:rFonts w:asciiTheme="minorHAnsi" w:hAnsiTheme="minorHAnsi" w:cstheme="minorHAnsi"/>
          <w:szCs w:val="24"/>
        </w:rPr>
      </w:pPr>
    </w:p>
    <w:p w:rsidR="00DD7854" w:rsidRPr="00BE68E4" w:rsidRDefault="00DD7854" w:rsidP="00DD7854">
      <w:pPr>
        <w:pStyle w:val="a4"/>
        <w:spacing w:after="240" w:line="276" w:lineRule="auto"/>
        <w:rPr>
          <w:rFonts w:asciiTheme="minorHAnsi" w:hAnsiTheme="minorHAnsi" w:cstheme="minorHAnsi"/>
          <w:b/>
          <w:szCs w:val="24"/>
        </w:rPr>
      </w:pPr>
      <w:r w:rsidRPr="00BE68E4">
        <w:rPr>
          <w:rFonts w:asciiTheme="minorHAnsi" w:hAnsiTheme="minorHAnsi" w:cstheme="minorHAnsi"/>
          <w:b/>
          <w:szCs w:val="24"/>
        </w:rPr>
        <w:t>Ευθύνη του ελεγκτή</w:t>
      </w:r>
    </w:p>
    <w:p w:rsidR="00DD7854" w:rsidRPr="00BE68E4" w:rsidRDefault="00DD7854" w:rsidP="00DD7854">
      <w:pPr>
        <w:pStyle w:val="a4"/>
        <w:spacing w:after="240" w:line="276" w:lineRule="auto"/>
        <w:rPr>
          <w:rFonts w:asciiTheme="minorHAnsi" w:hAnsiTheme="minorHAnsi" w:cstheme="minorHAnsi"/>
          <w:szCs w:val="24"/>
        </w:rPr>
      </w:pPr>
      <w:r w:rsidRPr="00BE68E4">
        <w:rPr>
          <w:rFonts w:asciiTheme="minorHAnsi" w:hAnsiTheme="minorHAnsi" w:cstheme="minorHAnsi"/>
          <w:szCs w:val="24"/>
        </w:rPr>
        <w:t>Δική μας ευθύνη είναι να διενεργήσουμε την εργασία όπως περιγράφεται κατωτέρω στην παράγραφο “Εύρος διενεργηθείσας εργασίας” και να αναφέρουμε τα συμπεράσματα που προκύπτουν από την εκτέλεσή της σύμφωνα με το άρθρο 8 της απόφασης 1/808/7.2.2018 της Επιτροπής Κεφαλαιαγοράς</w:t>
      </w:r>
      <w:r w:rsidRPr="00BE68E4" w:rsidDel="00252AC6">
        <w:rPr>
          <w:rFonts w:asciiTheme="minorHAnsi" w:hAnsiTheme="minorHAnsi" w:cstheme="minorHAnsi"/>
          <w:szCs w:val="24"/>
        </w:rPr>
        <w:t xml:space="preserve"> </w:t>
      </w:r>
      <w:r w:rsidRPr="00BE68E4">
        <w:rPr>
          <w:rFonts w:asciiTheme="minorHAnsi" w:hAnsiTheme="minorHAnsi" w:cstheme="minorHAnsi"/>
          <w:szCs w:val="24"/>
        </w:rPr>
        <w:t>. Τα τυχόν ευρήματά μας από τη διενεργηθείσα αξιολόγηση αφορούν στην επάρκεια των μέτρων που έχει σχεδιάσει και εφαρμόσει η Εταιρεία την 31</w:t>
      </w:r>
      <w:r w:rsidRPr="00BE68E4">
        <w:rPr>
          <w:rFonts w:asciiTheme="minorHAnsi" w:hAnsiTheme="minorHAnsi" w:cstheme="minorHAnsi"/>
          <w:szCs w:val="24"/>
          <w:vertAlign w:val="superscript"/>
        </w:rPr>
        <w:t>η</w:t>
      </w:r>
      <w:r w:rsidRPr="00BE68E4">
        <w:rPr>
          <w:rFonts w:asciiTheme="minorHAnsi" w:hAnsiTheme="minorHAnsi" w:cstheme="minorHAnsi"/>
          <w:szCs w:val="24"/>
        </w:rPr>
        <w:t xml:space="preserve"> Δεκεμβρίου 20ΧΧ και δεν φέρουμε ευθύνη για γεγονότα ή καταστάσεις που ενδέχεται να συμβούν μετά την ημερομηνία αυτή.</w:t>
      </w:r>
    </w:p>
    <w:p w:rsidR="00DD7854" w:rsidRPr="00BE68E4" w:rsidRDefault="00DD7854" w:rsidP="00DD7854">
      <w:pPr>
        <w:pStyle w:val="1"/>
        <w:jc w:val="both"/>
        <w:rPr>
          <w:rFonts w:asciiTheme="minorHAnsi" w:hAnsiTheme="minorHAnsi" w:cstheme="minorHAnsi"/>
          <w:sz w:val="24"/>
        </w:rPr>
      </w:pPr>
    </w:p>
    <w:p w:rsidR="00DD7854" w:rsidRPr="00BE68E4" w:rsidRDefault="00DD7854" w:rsidP="00DD7854">
      <w:pPr>
        <w:pStyle w:val="a4"/>
        <w:spacing w:after="240" w:line="276" w:lineRule="auto"/>
        <w:rPr>
          <w:rFonts w:asciiTheme="minorHAnsi" w:hAnsiTheme="minorHAnsi" w:cstheme="minorHAnsi"/>
          <w:b/>
          <w:szCs w:val="24"/>
        </w:rPr>
      </w:pPr>
      <w:r w:rsidRPr="00BE68E4">
        <w:rPr>
          <w:rFonts w:asciiTheme="minorHAnsi" w:hAnsiTheme="minorHAnsi" w:cstheme="minorHAnsi"/>
          <w:b/>
          <w:szCs w:val="24"/>
        </w:rPr>
        <w:t>Εύρος διενεργηθείσας εργασίας</w:t>
      </w:r>
    </w:p>
    <w:p w:rsidR="00DD7854" w:rsidRPr="00BE68E4" w:rsidRDefault="00DD7854" w:rsidP="00DD7854">
      <w:pPr>
        <w:pStyle w:val="a4"/>
        <w:spacing w:after="240" w:line="276" w:lineRule="auto"/>
        <w:rPr>
          <w:rFonts w:asciiTheme="minorHAnsi" w:hAnsiTheme="minorHAnsi" w:cstheme="minorHAnsi"/>
          <w:szCs w:val="24"/>
        </w:rPr>
      </w:pPr>
      <w:r w:rsidRPr="00BE68E4">
        <w:rPr>
          <w:rFonts w:asciiTheme="minorHAnsi" w:hAnsiTheme="minorHAnsi" w:cstheme="minorHAnsi"/>
          <w:szCs w:val="24"/>
        </w:rPr>
        <w:t>Η εργασία μας συμπεριέλαβε τη διεξαγωγή συνεντεύξεων με στελέχη της Εταιρείας, επισκόπηση της αλληλογραφίας της με την Επιτροπή Κεφαλαιαγοράς, καθώς και των καταγεγραμμένων διαδικασιών (όπου αυτές υφίστανται), όπως αναλυτικά αναφέρονται κατωτέρω και βασίσθηκε στις απαιτήσεις  που προκύπτουν από τις παραγράφους 8, 9 και 10 του άρθρου 16 του Ν.4514/2018 και των άρθρων 2 έως 7 της απόφασης 1/808/7.2.2018 της Επιτροπής Κεφαλαιαγοράς</w:t>
      </w:r>
      <w:r w:rsidRPr="00BE68E4" w:rsidDel="00252AC6">
        <w:rPr>
          <w:rFonts w:asciiTheme="minorHAnsi" w:hAnsiTheme="minorHAnsi" w:cstheme="minorHAnsi"/>
          <w:szCs w:val="24"/>
        </w:rPr>
        <w:t xml:space="preserve"> </w:t>
      </w:r>
      <w:r w:rsidRPr="00BE68E4">
        <w:rPr>
          <w:rFonts w:asciiTheme="minorHAnsi" w:hAnsiTheme="minorHAnsi" w:cstheme="minorHAnsi"/>
          <w:szCs w:val="24"/>
        </w:rPr>
        <w:t>.</w:t>
      </w:r>
    </w:p>
    <w:p w:rsidR="00DD7854" w:rsidRPr="00BE68E4" w:rsidRDefault="00DD7854" w:rsidP="00DD7854">
      <w:pPr>
        <w:pStyle w:val="a4"/>
        <w:spacing w:after="240" w:line="276" w:lineRule="auto"/>
        <w:rPr>
          <w:rFonts w:asciiTheme="minorHAnsi" w:hAnsiTheme="minorHAnsi" w:cstheme="minorHAnsi"/>
          <w:szCs w:val="24"/>
        </w:rPr>
      </w:pPr>
      <w:r w:rsidRPr="00BE68E4">
        <w:rPr>
          <w:rFonts w:asciiTheme="minorHAnsi" w:hAnsiTheme="minorHAnsi" w:cstheme="minorHAnsi"/>
          <w:szCs w:val="24"/>
        </w:rPr>
        <w:t xml:space="preserve">Συγκεκριμένα η εργασία μας επικεντρώθηκε στην αξιολόγηση της επάρκειας των μέτρων που έχει σχεδιάσει και εφαρμόσει η Εταιρεία, όπως ορίζονται στα άρθρα 2 έως 7 της απόφασης 1/808/7.2.2018 της Επιτροπής Κεφαλαιαγοράς, για τα εξής: </w:t>
      </w:r>
    </w:p>
    <w:p w:rsidR="00DD7854" w:rsidRPr="00BE68E4" w:rsidRDefault="00DD7854" w:rsidP="00DD7854">
      <w:pPr>
        <w:pStyle w:val="a"/>
        <w:numPr>
          <w:ilvl w:val="0"/>
          <w:numId w:val="0"/>
        </w:numPr>
        <w:ind w:left="426" w:hanging="426"/>
        <w:rPr>
          <w:rFonts w:asciiTheme="minorHAnsi" w:hAnsiTheme="minorHAnsi" w:cstheme="minorHAnsi"/>
          <w:sz w:val="24"/>
          <w:szCs w:val="24"/>
          <w:lang w:val="el-GR"/>
        </w:rPr>
      </w:pPr>
      <w:r w:rsidRPr="00BE68E4">
        <w:rPr>
          <w:rFonts w:asciiTheme="minorHAnsi" w:hAnsiTheme="minorHAnsi" w:cstheme="minorHAnsi"/>
          <w:sz w:val="24"/>
          <w:szCs w:val="24"/>
          <w:lang w:val="el-GR"/>
        </w:rPr>
        <w:lastRenderedPageBreak/>
        <w:t xml:space="preserve">α) </w:t>
      </w:r>
      <w:r w:rsidRPr="00BE68E4">
        <w:rPr>
          <w:rFonts w:asciiTheme="minorHAnsi" w:hAnsiTheme="minorHAnsi" w:cstheme="minorHAnsi"/>
          <w:sz w:val="24"/>
          <w:szCs w:val="24"/>
          <w:lang w:val="el-GR"/>
        </w:rPr>
        <w:tab/>
        <w:t>Προστασία χρηματοπιστωτικών μέσων και κεφαλαίων των πελατών (άρθρο 2).</w:t>
      </w:r>
    </w:p>
    <w:p w:rsidR="00DD7854" w:rsidRPr="00BE68E4" w:rsidRDefault="00DD7854" w:rsidP="00DD7854">
      <w:pPr>
        <w:pStyle w:val="a"/>
        <w:numPr>
          <w:ilvl w:val="0"/>
          <w:numId w:val="0"/>
        </w:numPr>
        <w:ind w:left="426" w:hanging="426"/>
        <w:rPr>
          <w:rFonts w:asciiTheme="minorHAnsi" w:hAnsiTheme="minorHAnsi" w:cstheme="minorHAnsi"/>
          <w:sz w:val="24"/>
          <w:szCs w:val="24"/>
          <w:lang w:val="el-GR"/>
        </w:rPr>
      </w:pPr>
      <w:r w:rsidRPr="00BE68E4">
        <w:rPr>
          <w:rFonts w:asciiTheme="minorHAnsi" w:hAnsiTheme="minorHAnsi" w:cstheme="minorHAnsi"/>
          <w:sz w:val="24"/>
          <w:szCs w:val="24"/>
          <w:lang w:val="el-GR"/>
        </w:rPr>
        <w:t>β)</w:t>
      </w:r>
      <w:r w:rsidRPr="00BE68E4">
        <w:rPr>
          <w:rFonts w:asciiTheme="minorHAnsi" w:hAnsiTheme="minorHAnsi" w:cstheme="minorHAnsi"/>
          <w:sz w:val="24"/>
          <w:szCs w:val="24"/>
          <w:lang w:val="el-GR"/>
        </w:rPr>
        <w:tab/>
        <w:t>Κατάθεση χρηματοπιστωτικών μέσων πελατών (άρθρο 3).</w:t>
      </w:r>
    </w:p>
    <w:p w:rsidR="00DD7854" w:rsidRPr="00BE68E4" w:rsidRDefault="00DD7854" w:rsidP="00DD7854">
      <w:pPr>
        <w:pStyle w:val="a"/>
        <w:numPr>
          <w:ilvl w:val="0"/>
          <w:numId w:val="0"/>
        </w:numPr>
        <w:ind w:left="426" w:hanging="426"/>
        <w:rPr>
          <w:rFonts w:asciiTheme="minorHAnsi" w:hAnsiTheme="minorHAnsi" w:cstheme="minorHAnsi"/>
          <w:sz w:val="24"/>
          <w:szCs w:val="24"/>
          <w:lang w:val="el-GR"/>
        </w:rPr>
      </w:pPr>
      <w:r w:rsidRPr="00BE68E4">
        <w:rPr>
          <w:rFonts w:asciiTheme="minorHAnsi" w:hAnsiTheme="minorHAnsi" w:cstheme="minorHAnsi"/>
          <w:sz w:val="24"/>
          <w:szCs w:val="24"/>
          <w:lang w:val="el-GR"/>
        </w:rPr>
        <w:t>γ)</w:t>
      </w:r>
      <w:r w:rsidRPr="00BE68E4">
        <w:rPr>
          <w:rFonts w:asciiTheme="minorHAnsi" w:hAnsiTheme="minorHAnsi" w:cstheme="minorHAnsi"/>
          <w:sz w:val="24"/>
          <w:szCs w:val="24"/>
          <w:lang w:val="el-GR"/>
        </w:rPr>
        <w:tab/>
        <w:t>Κατάθεση κεφαλαίων πελατών (άρθρο 4).</w:t>
      </w:r>
    </w:p>
    <w:p w:rsidR="00DD7854" w:rsidRPr="00BE68E4" w:rsidRDefault="00DD7854" w:rsidP="00DD7854">
      <w:pPr>
        <w:pStyle w:val="a"/>
        <w:numPr>
          <w:ilvl w:val="0"/>
          <w:numId w:val="0"/>
        </w:numPr>
        <w:ind w:left="426" w:hanging="426"/>
        <w:rPr>
          <w:rFonts w:asciiTheme="minorHAnsi" w:hAnsiTheme="minorHAnsi" w:cstheme="minorHAnsi"/>
          <w:sz w:val="24"/>
          <w:szCs w:val="24"/>
          <w:lang w:val="el-GR"/>
        </w:rPr>
      </w:pPr>
      <w:r w:rsidRPr="00BE68E4">
        <w:rPr>
          <w:rFonts w:asciiTheme="minorHAnsi" w:hAnsiTheme="minorHAnsi" w:cstheme="minorHAnsi"/>
          <w:sz w:val="24"/>
          <w:szCs w:val="24"/>
          <w:lang w:val="el-GR"/>
        </w:rPr>
        <w:t>δ)</w:t>
      </w:r>
      <w:r w:rsidRPr="00BE68E4">
        <w:rPr>
          <w:rFonts w:asciiTheme="minorHAnsi" w:hAnsiTheme="minorHAnsi" w:cstheme="minorHAnsi"/>
          <w:sz w:val="24"/>
          <w:szCs w:val="24"/>
          <w:lang w:val="el-GR"/>
        </w:rPr>
        <w:tab/>
        <w:t>Χρησιμοποίηση χρηματοπιστωτικών μέσων των πελατών (άρθρο 5).</w:t>
      </w:r>
    </w:p>
    <w:p w:rsidR="00DD7854" w:rsidRPr="00BE68E4" w:rsidRDefault="00DD7854" w:rsidP="00DD7854">
      <w:pPr>
        <w:pStyle w:val="a"/>
        <w:numPr>
          <w:ilvl w:val="0"/>
          <w:numId w:val="0"/>
        </w:numPr>
        <w:ind w:left="426" w:hanging="426"/>
        <w:rPr>
          <w:rFonts w:asciiTheme="minorHAnsi" w:hAnsiTheme="minorHAnsi" w:cstheme="minorHAnsi"/>
          <w:sz w:val="24"/>
          <w:szCs w:val="24"/>
          <w:lang w:val="el-GR"/>
        </w:rPr>
      </w:pPr>
      <w:r w:rsidRPr="00BE68E4">
        <w:rPr>
          <w:rFonts w:asciiTheme="minorHAnsi" w:hAnsiTheme="minorHAnsi" w:cstheme="minorHAnsi"/>
          <w:sz w:val="24"/>
          <w:szCs w:val="24"/>
          <w:lang w:val="el-GR"/>
        </w:rPr>
        <w:t>ε)</w:t>
      </w:r>
      <w:r w:rsidRPr="00BE68E4">
        <w:rPr>
          <w:rFonts w:asciiTheme="minorHAnsi" w:hAnsiTheme="minorHAnsi" w:cstheme="minorHAnsi"/>
          <w:sz w:val="24"/>
          <w:szCs w:val="24"/>
          <w:lang w:val="el-GR"/>
        </w:rPr>
        <w:tab/>
        <w:t>Ακατάλληλη χρήση των συμφωνιών παροχής χρηματοοικονομικής ασφάλειας με μεταβίβαση τίτλου (άρθρο 6).</w:t>
      </w:r>
    </w:p>
    <w:p w:rsidR="00DD7854" w:rsidRPr="00BE68E4" w:rsidRDefault="00DD7854" w:rsidP="00DD7854">
      <w:pPr>
        <w:pStyle w:val="a"/>
        <w:numPr>
          <w:ilvl w:val="0"/>
          <w:numId w:val="0"/>
        </w:numPr>
        <w:ind w:left="426" w:hanging="426"/>
        <w:rPr>
          <w:rFonts w:asciiTheme="minorHAnsi" w:hAnsiTheme="minorHAnsi" w:cstheme="minorHAnsi"/>
          <w:sz w:val="24"/>
          <w:szCs w:val="24"/>
          <w:lang w:val="el-GR"/>
        </w:rPr>
      </w:pPr>
      <w:r w:rsidRPr="00BE68E4">
        <w:rPr>
          <w:rFonts w:asciiTheme="minorHAnsi" w:hAnsiTheme="minorHAnsi" w:cstheme="minorHAnsi"/>
          <w:sz w:val="24"/>
          <w:szCs w:val="24"/>
          <w:lang w:val="el-GR"/>
        </w:rPr>
        <w:t>στ)</w:t>
      </w:r>
      <w:r w:rsidRPr="00BE68E4">
        <w:rPr>
          <w:rFonts w:asciiTheme="minorHAnsi" w:hAnsiTheme="minorHAnsi" w:cstheme="minorHAnsi"/>
          <w:sz w:val="24"/>
          <w:szCs w:val="24"/>
          <w:lang w:val="el-GR"/>
        </w:rPr>
        <w:tab/>
        <w:t>Ρυθμίσεις παρακολούθησης για τη διασφάλιση των περιουσιακών στοιχείων των πελατών (άρθρο 7).</w:t>
      </w:r>
    </w:p>
    <w:p w:rsidR="00DD7854" w:rsidRDefault="00DD7854" w:rsidP="00DD7854">
      <w:pPr>
        <w:pStyle w:val="1"/>
        <w:jc w:val="both"/>
        <w:rPr>
          <w:rFonts w:asciiTheme="minorHAnsi" w:hAnsiTheme="minorHAnsi" w:cstheme="minorHAnsi"/>
          <w:sz w:val="24"/>
        </w:rPr>
      </w:pPr>
    </w:p>
    <w:p w:rsidR="00BE68E4" w:rsidRPr="00BE68E4" w:rsidRDefault="00BE68E4" w:rsidP="00BE68E4">
      <w:pPr>
        <w:rPr>
          <w:lang w:eastAsia="en-US"/>
        </w:rPr>
      </w:pPr>
    </w:p>
    <w:p w:rsidR="00DD7854" w:rsidRPr="00BE68E4" w:rsidRDefault="00DD7854" w:rsidP="00DD7854">
      <w:pPr>
        <w:pStyle w:val="a4"/>
        <w:spacing w:after="240" w:line="276" w:lineRule="auto"/>
        <w:rPr>
          <w:rFonts w:asciiTheme="minorHAnsi" w:hAnsiTheme="minorHAnsi" w:cstheme="minorHAnsi"/>
          <w:b/>
          <w:szCs w:val="24"/>
        </w:rPr>
      </w:pPr>
      <w:r w:rsidRPr="00BE68E4">
        <w:rPr>
          <w:rFonts w:asciiTheme="minorHAnsi" w:hAnsiTheme="minorHAnsi" w:cstheme="minorHAnsi"/>
          <w:b/>
          <w:szCs w:val="24"/>
        </w:rPr>
        <w:t xml:space="preserve">Εγγενείς περιορισμοί </w:t>
      </w:r>
    </w:p>
    <w:p w:rsidR="00DD7854" w:rsidRPr="00BE68E4" w:rsidRDefault="00DD7854" w:rsidP="00DD7854">
      <w:pPr>
        <w:pStyle w:val="a4"/>
        <w:spacing w:after="240" w:line="276" w:lineRule="auto"/>
        <w:rPr>
          <w:rFonts w:asciiTheme="minorHAnsi" w:hAnsiTheme="minorHAnsi" w:cstheme="minorHAnsi"/>
          <w:szCs w:val="24"/>
        </w:rPr>
      </w:pPr>
      <w:r w:rsidRPr="00BE68E4">
        <w:rPr>
          <w:rFonts w:asciiTheme="minorHAnsi" w:hAnsiTheme="minorHAnsi" w:cstheme="minorHAnsi"/>
          <w:szCs w:val="24"/>
        </w:rPr>
        <w:t>Η εργασία  που διενεργήσαμε δεν θα μπορούσε να διασφαλίσει απόλυτα ότι θα αποκαλυφθούν όλα τα θέματα που θα μπορούσαν να θεωρηθούν ως ουσιώδεις αδυναμίες, σχετικά με την αξιολόγηση της επάρκειας των μέτρων που έχουν ληφθεί από την Εταιρεία, στα πλαίσια των απαιτήσεων που προκύπτουν από τις παραγράφους 8, 9 και 10 του άρθρου 16 του Ν.4514/2018 και των άρθρων 2 έως 7 της απόφασης 1/808/7.2.2018 της Επιτροπής Κεφαλαιαγοράς. Ουσιώδης αδυναμία υπάρχει όταν ο σχεδιασμός του συστήματος εσωτερικού ελέγχου δεν περιορίζει τον κίνδυνο να συμβούν και να μην αποκαλυφθούν σημαντικά λάθη ή ανωμαλίες, εντός εύλογου χρονικού διαστήματος. Όλα τα θέματα πού υπέπεσαν στην αντίληψή μας κατά τη διεξαγωγή της παρούσας εργασίας τέθηκαν σε γνώση της διοίκησης της Εταιρείας. Οι σχετικές επισημάνσεις μας, όπως προέκυψαν από την αξιολόγηση των εφαρμοζόμενων διαδικασιών από την Εταιρεία την 31 Δεκεμβρίου 20ΧΧ, συζητήθηκαν με τα αρμόδια στελέχη της.</w:t>
      </w:r>
    </w:p>
    <w:p w:rsidR="00DD7854" w:rsidRPr="00BE68E4" w:rsidRDefault="00DD7854" w:rsidP="00DD7854">
      <w:pPr>
        <w:pStyle w:val="1"/>
        <w:jc w:val="both"/>
        <w:rPr>
          <w:rFonts w:asciiTheme="minorHAnsi" w:hAnsiTheme="minorHAnsi" w:cstheme="minorHAnsi"/>
          <w:sz w:val="24"/>
        </w:rPr>
      </w:pPr>
    </w:p>
    <w:p w:rsidR="00DD7854" w:rsidRPr="00BE68E4" w:rsidRDefault="00DD7854" w:rsidP="00DD7854">
      <w:pPr>
        <w:pStyle w:val="a4"/>
        <w:spacing w:after="240" w:line="276" w:lineRule="auto"/>
        <w:rPr>
          <w:rFonts w:asciiTheme="minorHAnsi" w:hAnsiTheme="minorHAnsi" w:cstheme="minorHAnsi"/>
          <w:b/>
          <w:szCs w:val="24"/>
        </w:rPr>
      </w:pPr>
      <w:r w:rsidRPr="00BE68E4">
        <w:rPr>
          <w:rFonts w:asciiTheme="minorHAnsi" w:hAnsiTheme="minorHAnsi" w:cstheme="minorHAnsi"/>
          <w:b/>
          <w:szCs w:val="24"/>
        </w:rPr>
        <w:t>Συμπέρασμα</w:t>
      </w:r>
    </w:p>
    <w:p w:rsidR="00DD7854" w:rsidRPr="00BE68E4" w:rsidRDefault="00DD7854" w:rsidP="00DD7854">
      <w:pPr>
        <w:pStyle w:val="a4"/>
        <w:spacing w:after="240" w:line="276" w:lineRule="auto"/>
        <w:rPr>
          <w:rFonts w:asciiTheme="minorHAnsi" w:hAnsiTheme="minorHAnsi" w:cstheme="minorHAnsi"/>
          <w:szCs w:val="24"/>
        </w:rPr>
      </w:pPr>
      <w:r w:rsidRPr="00BE68E4">
        <w:rPr>
          <w:rFonts w:asciiTheme="minorHAnsi" w:hAnsiTheme="minorHAnsi" w:cstheme="minorHAnsi"/>
          <w:szCs w:val="24"/>
        </w:rPr>
        <w:t>Με βάση τη διενεργηθείσα εργασία μας, δεν περιήλθε στην αντίληψή μας οτιδήποτε που θα μας κάνει να πιστεύουμε ότι τα μέτρα που έχει σχεδιάσει και εφαρμόσει η Εταιρεία την 31</w:t>
      </w:r>
      <w:r w:rsidRPr="00BE68E4">
        <w:rPr>
          <w:rFonts w:asciiTheme="minorHAnsi" w:hAnsiTheme="minorHAnsi" w:cstheme="minorHAnsi"/>
          <w:szCs w:val="24"/>
          <w:vertAlign w:val="superscript"/>
        </w:rPr>
        <w:t>η</w:t>
      </w:r>
      <w:r w:rsidRPr="00BE68E4">
        <w:rPr>
          <w:rFonts w:asciiTheme="minorHAnsi" w:hAnsiTheme="minorHAnsi" w:cstheme="minorHAnsi"/>
          <w:szCs w:val="24"/>
        </w:rPr>
        <w:t xml:space="preserve">  Δεκεμβρίου 20ΧΧ δεν βρίσκονται από κάθε ουσιώδη άποψη σε εναρμόνιση με τα οριζόμενα στις παραγράφους 8, 9 και 10 του άρθρου 16 του Ν. 4514/2018 και στα άρθρα 2 έως 7 της απόφασης 1/808/7.2.2018 της Επιτροπής Κεφαλαιαγοράς  [</w:t>
      </w:r>
      <w:r w:rsidRPr="00BE68E4">
        <w:rPr>
          <w:rFonts w:asciiTheme="minorHAnsi" w:hAnsiTheme="minorHAnsi" w:cstheme="minorHAnsi"/>
          <w:color w:val="FF0000"/>
          <w:szCs w:val="24"/>
        </w:rPr>
        <w:t>εκτός από τα ευρήματα που παρατίθενται στο επισυναπτόμενο Παράρτημα</w:t>
      </w:r>
      <w:r w:rsidRPr="00BE68E4">
        <w:rPr>
          <w:rFonts w:asciiTheme="minorHAnsi" w:hAnsiTheme="minorHAnsi" w:cstheme="minorHAnsi"/>
          <w:szCs w:val="24"/>
        </w:rPr>
        <w:t>].</w:t>
      </w:r>
    </w:p>
    <w:p w:rsidR="00DD7854" w:rsidRPr="00BE68E4" w:rsidRDefault="00DD7854" w:rsidP="00DD7854">
      <w:pPr>
        <w:pStyle w:val="1"/>
        <w:jc w:val="both"/>
        <w:rPr>
          <w:rFonts w:asciiTheme="minorHAnsi" w:hAnsiTheme="minorHAnsi" w:cstheme="minorHAnsi"/>
          <w:sz w:val="24"/>
        </w:rPr>
      </w:pPr>
    </w:p>
    <w:p w:rsidR="00BE68E4" w:rsidRDefault="00BE68E4">
      <w:pPr>
        <w:spacing w:after="160" w:line="259" w:lineRule="auto"/>
        <w:jc w:val="left"/>
        <w:rPr>
          <w:rFonts w:asciiTheme="minorHAnsi" w:hAnsiTheme="minorHAnsi" w:cstheme="minorHAnsi"/>
          <w:b/>
          <w:sz w:val="24"/>
          <w:szCs w:val="24"/>
        </w:rPr>
      </w:pPr>
      <w:r>
        <w:rPr>
          <w:rFonts w:asciiTheme="minorHAnsi" w:hAnsiTheme="minorHAnsi" w:cstheme="minorHAnsi"/>
          <w:b/>
          <w:szCs w:val="24"/>
        </w:rPr>
        <w:br w:type="page"/>
      </w:r>
    </w:p>
    <w:p w:rsidR="00DD7854" w:rsidRPr="00BE68E4" w:rsidRDefault="00DD7854" w:rsidP="00DD7854">
      <w:pPr>
        <w:pStyle w:val="a4"/>
        <w:spacing w:after="240" w:line="276" w:lineRule="auto"/>
        <w:rPr>
          <w:rFonts w:asciiTheme="minorHAnsi" w:hAnsiTheme="minorHAnsi" w:cstheme="minorHAnsi"/>
          <w:b/>
          <w:szCs w:val="24"/>
        </w:rPr>
      </w:pPr>
      <w:r w:rsidRPr="00BE68E4">
        <w:rPr>
          <w:rFonts w:asciiTheme="minorHAnsi" w:hAnsiTheme="minorHAnsi" w:cstheme="minorHAnsi"/>
          <w:b/>
          <w:szCs w:val="24"/>
        </w:rPr>
        <w:lastRenderedPageBreak/>
        <w:t xml:space="preserve">Περιορισμός χρήσης </w:t>
      </w:r>
    </w:p>
    <w:p w:rsidR="00DD7854" w:rsidRPr="00BE68E4" w:rsidRDefault="00DD7854" w:rsidP="00DD7854">
      <w:pPr>
        <w:pStyle w:val="a4"/>
        <w:spacing w:after="240" w:line="276" w:lineRule="auto"/>
        <w:rPr>
          <w:rFonts w:asciiTheme="minorHAnsi" w:hAnsiTheme="minorHAnsi" w:cstheme="minorHAnsi"/>
          <w:szCs w:val="24"/>
        </w:rPr>
      </w:pPr>
      <w:r w:rsidRPr="00BE68E4">
        <w:rPr>
          <w:rFonts w:asciiTheme="minorHAnsi" w:hAnsiTheme="minorHAnsi" w:cstheme="minorHAnsi"/>
          <w:szCs w:val="24"/>
        </w:rPr>
        <w:t>Η παρούσα Έκθεση, η οποία συντάχθηκε σύμφωνα με το άρθρο 8 της απόφασης 1/808/7.2.2018 της Επιτροπής Κεφαλαιαγοράς</w:t>
      </w:r>
      <w:r w:rsidRPr="00BE68E4" w:rsidDel="00252AC6">
        <w:rPr>
          <w:rFonts w:asciiTheme="minorHAnsi" w:hAnsiTheme="minorHAnsi" w:cstheme="minorHAnsi"/>
          <w:szCs w:val="24"/>
        </w:rPr>
        <w:t xml:space="preserve"> </w:t>
      </w:r>
      <w:r w:rsidRPr="00BE68E4">
        <w:rPr>
          <w:rFonts w:asciiTheme="minorHAnsi" w:hAnsiTheme="minorHAnsi" w:cstheme="minorHAnsi"/>
          <w:szCs w:val="24"/>
        </w:rPr>
        <w:t>, χορηγείται αποκλειστικά στη Διοίκηση της Εταιρείας και δεν επιτρέπεται καμία άλλη χρήση της, εκτός από την κοινοποίησή της στην Επιτροπή Κεφαλαιαγοράς.</w:t>
      </w:r>
    </w:p>
    <w:p w:rsidR="00DD7854" w:rsidRPr="00BE68E4" w:rsidRDefault="00DD7854" w:rsidP="00DD7854">
      <w:pPr>
        <w:autoSpaceDE w:val="0"/>
        <w:autoSpaceDN w:val="0"/>
        <w:adjustRightInd w:val="0"/>
        <w:spacing w:line="276" w:lineRule="auto"/>
        <w:ind w:left="4536"/>
        <w:rPr>
          <w:rFonts w:asciiTheme="minorHAnsi" w:eastAsia="Arial" w:hAnsiTheme="minorHAnsi" w:cstheme="minorHAnsi"/>
          <w:color w:val="000000"/>
          <w:sz w:val="24"/>
          <w:szCs w:val="24"/>
        </w:rPr>
      </w:pPr>
      <w:r w:rsidRPr="00BE68E4">
        <w:rPr>
          <w:rFonts w:asciiTheme="minorHAnsi" w:eastAsia="Arial" w:hAnsiTheme="minorHAnsi" w:cstheme="minorHAnsi"/>
          <w:color w:val="000000"/>
          <w:sz w:val="24"/>
          <w:szCs w:val="24"/>
        </w:rPr>
        <w:t>Έδρα του ελεγκτή [πόλη], [ημερομηνία]</w:t>
      </w:r>
    </w:p>
    <w:p w:rsidR="00DD7854" w:rsidRPr="00BE68E4" w:rsidRDefault="00DD7854" w:rsidP="00DD7854">
      <w:pPr>
        <w:autoSpaceDE w:val="0"/>
        <w:autoSpaceDN w:val="0"/>
        <w:adjustRightInd w:val="0"/>
        <w:spacing w:line="276" w:lineRule="auto"/>
        <w:ind w:left="4536"/>
        <w:rPr>
          <w:rFonts w:asciiTheme="minorHAnsi" w:eastAsia="Arial" w:hAnsiTheme="minorHAnsi" w:cstheme="minorHAnsi"/>
          <w:color w:val="000000"/>
          <w:sz w:val="24"/>
          <w:szCs w:val="24"/>
        </w:rPr>
      </w:pPr>
    </w:p>
    <w:p w:rsidR="00DD7854" w:rsidRPr="00BE68E4" w:rsidRDefault="00DD7854" w:rsidP="00DD7854">
      <w:pPr>
        <w:autoSpaceDE w:val="0"/>
        <w:autoSpaceDN w:val="0"/>
        <w:adjustRightInd w:val="0"/>
        <w:spacing w:line="276" w:lineRule="auto"/>
        <w:ind w:left="4536"/>
        <w:rPr>
          <w:rFonts w:asciiTheme="minorHAnsi" w:eastAsia="Arial" w:hAnsiTheme="minorHAnsi" w:cstheme="minorHAnsi"/>
          <w:color w:val="000000"/>
          <w:sz w:val="24"/>
          <w:szCs w:val="24"/>
        </w:rPr>
      </w:pPr>
      <w:r w:rsidRPr="00BE68E4">
        <w:rPr>
          <w:rFonts w:asciiTheme="minorHAnsi" w:eastAsia="Arial" w:hAnsiTheme="minorHAnsi" w:cstheme="minorHAnsi"/>
          <w:color w:val="000000"/>
          <w:sz w:val="24"/>
          <w:szCs w:val="24"/>
        </w:rPr>
        <w:t>[Ορκωτός  Ελεγκτής  Λογιστής]</w:t>
      </w:r>
    </w:p>
    <w:p w:rsidR="00DD7854" w:rsidRPr="00BE68E4" w:rsidRDefault="00DD7854" w:rsidP="00DD7854">
      <w:pPr>
        <w:autoSpaceDE w:val="0"/>
        <w:autoSpaceDN w:val="0"/>
        <w:adjustRightInd w:val="0"/>
        <w:spacing w:line="276" w:lineRule="auto"/>
        <w:ind w:left="4536"/>
        <w:rPr>
          <w:rFonts w:asciiTheme="minorHAnsi" w:eastAsia="Arial" w:hAnsiTheme="minorHAnsi" w:cstheme="minorHAnsi"/>
          <w:color w:val="000000"/>
          <w:sz w:val="24"/>
          <w:szCs w:val="24"/>
        </w:rPr>
      </w:pPr>
      <w:r w:rsidRPr="00BE68E4">
        <w:rPr>
          <w:rFonts w:asciiTheme="minorHAnsi" w:eastAsia="Arial" w:hAnsiTheme="minorHAnsi" w:cstheme="minorHAnsi"/>
          <w:color w:val="000000"/>
          <w:sz w:val="24"/>
          <w:szCs w:val="24"/>
        </w:rPr>
        <w:t>Αρ. Μ. ΣΟΕΛ:</w:t>
      </w:r>
    </w:p>
    <w:p w:rsidR="00DD7854" w:rsidRPr="00BE68E4" w:rsidRDefault="00DD7854" w:rsidP="00DD7854">
      <w:pPr>
        <w:autoSpaceDE w:val="0"/>
        <w:autoSpaceDN w:val="0"/>
        <w:adjustRightInd w:val="0"/>
        <w:spacing w:line="276" w:lineRule="auto"/>
        <w:rPr>
          <w:rFonts w:asciiTheme="minorHAnsi" w:eastAsia="Arial" w:hAnsiTheme="minorHAnsi" w:cstheme="minorHAnsi"/>
          <w:color w:val="000000"/>
          <w:sz w:val="24"/>
          <w:szCs w:val="24"/>
        </w:rPr>
      </w:pPr>
    </w:p>
    <w:p w:rsidR="00DD7854" w:rsidRPr="00BE68E4" w:rsidRDefault="00DD7854" w:rsidP="00DD7854">
      <w:pPr>
        <w:autoSpaceDE w:val="0"/>
        <w:autoSpaceDN w:val="0"/>
        <w:adjustRightInd w:val="0"/>
        <w:spacing w:line="276" w:lineRule="auto"/>
        <w:rPr>
          <w:rFonts w:asciiTheme="minorHAnsi" w:eastAsia="Arial" w:hAnsiTheme="minorHAnsi" w:cstheme="minorHAnsi"/>
          <w:color w:val="000000"/>
          <w:sz w:val="24"/>
          <w:szCs w:val="24"/>
        </w:rPr>
      </w:pPr>
      <w:r w:rsidRPr="00BE68E4">
        <w:rPr>
          <w:rFonts w:asciiTheme="minorHAnsi" w:eastAsia="Arial" w:hAnsiTheme="minorHAnsi" w:cstheme="minorHAnsi"/>
          <w:color w:val="000000"/>
          <w:sz w:val="24"/>
          <w:szCs w:val="24"/>
        </w:rPr>
        <w:t>[Ελεγκτική Εταιρεία]</w:t>
      </w:r>
    </w:p>
    <w:p w:rsidR="00DD7854" w:rsidRPr="00BE68E4" w:rsidRDefault="00DD7854" w:rsidP="00DD7854">
      <w:pPr>
        <w:autoSpaceDE w:val="0"/>
        <w:autoSpaceDN w:val="0"/>
        <w:adjustRightInd w:val="0"/>
        <w:spacing w:line="276" w:lineRule="auto"/>
        <w:rPr>
          <w:rFonts w:asciiTheme="minorHAnsi" w:eastAsia="Arial" w:hAnsiTheme="minorHAnsi" w:cstheme="minorHAnsi"/>
          <w:color w:val="000000"/>
          <w:sz w:val="24"/>
          <w:szCs w:val="24"/>
        </w:rPr>
      </w:pPr>
      <w:r w:rsidRPr="00BE68E4">
        <w:rPr>
          <w:rFonts w:asciiTheme="minorHAnsi" w:eastAsia="Arial" w:hAnsiTheme="minorHAnsi" w:cstheme="minorHAnsi"/>
          <w:color w:val="000000"/>
          <w:sz w:val="24"/>
          <w:szCs w:val="24"/>
        </w:rPr>
        <w:t>[Διεύθυνση]</w:t>
      </w:r>
    </w:p>
    <w:p w:rsidR="00DD7854" w:rsidRPr="00BE68E4" w:rsidRDefault="00DD7854" w:rsidP="00DD7854">
      <w:pPr>
        <w:autoSpaceDE w:val="0"/>
        <w:autoSpaceDN w:val="0"/>
        <w:adjustRightInd w:val="0"/>
        <w:spacing w:line="276" w:lineRule="auto"/>
        <w:rPr>
          <w:rFonts w:asciiTheme="minorHAnsi" w:eastAsia="Arial" w:hAnsiTheme="minorHAnsi" w:cstheme="minorHAnsi"/>
          <w:color w:val="000000"/>
          <w:sz w:val="24"/>
          <w:szCs w:val="24"/>
        </w:rPr>
      </w:pPr>
      <w:r w:rsidRPr="00BE68E4">
        <w:rPr>
          <w:rFonts w:asciiTheme="minorHAnsi" w:eastAsia="Arial" w:hAnsiTheme="minorHAnsi" w:cstheme="minorHAnsi"/>
          <w:color w:val="000000"/>
          <w:sz w:val="24"/>
          <w:szCs w:val="24"/>
        </w:rPr>
        <w:t>[Αρ. Μ.  ΣΟΕΛ Εταιρείας]</w:t>
      </w:r>
    </w:p>
    <w:p w:rsidR="00DD7854" w:rsidRPr="00BE68E4" w:rsidRDefault="00DD7854" w:rsidP="00DD7854">
      <w:pPr>
        <w:autoSpaceDE w:val="0"/>
        <w:autoSpaceDN w:val="0"/>
        <w:adjustRightInd w:val="0"/>
        <w:spacing w:line="276" w:lineRule="auto"/>
        <w:rPr>
          <w:rFonts w:asciiTheme="minorHAnsi" w:eastAsia="Arial" w:hAnsiTheme="minorHAnsi" w:cstheme="minorHAnsi"/>
          <w:color w:val="000000"/>
          <w:sz w:val="24"/>
          <w:szCs w:val="24"/>
        </w:rPr>
      </w:pPr>
    </w:p>
    <w:p w:rsidR="00DD7854" w:rsidRPr="00BE68E4" w:rsidRDefault="00A3133E" w:rsidP="00DD7854">
      <w:pPr>
        <w:autoSpaceDE w:val="0"/>
        <w:autoSpaceDN w:val="0"/>
        <w:adjustRightInd w:val="0"/>
        <w:spacing w:line="276" w:lineRule="auto"/>
        <w:rPr>
          <w:rFonts w:asciiTheme="minorHAnsi" w:hAnsiTheme="minorHAnsi" w:cstheme="minorHAnsi"/>
          <w:sz w:val="24"/>
          <w:szCs w:val="24"/>
        </w:rPr>
      </w:pPr>
      <w:hyperlink r:id="rId7" w:history="1"/>
    </w:p>
    <w:p w:rsidR="00DD7854" w:rsidRPr="00BE68E4" w:rsidRDefault="00DD7854" w:rsidP="00DD7854">
      <w:pPr>
        <w:rPr>
          <w:rFonts w:asciiTheme="minorHAnsi" w:hAnsiTheme="minorHAnsi" w:cstheme="minorHAnsi"/>
          <w:b/>
          <w:sz w:val="24"/>
          <w:szCs w:val="24"/>
        </w:rPr>
      </w:pPr>
    </w:p>
    <w:p w:rsidR="00DD7854" w:rsidRPr="00BE68E4" w:rsidRDefault="00DD7854" w:rsidP="00DD7854">
      <w:pPr>
        <w:rPr>
          <w:rFonts w:asciiTheme="minorHAnsi" w:hAnsiTheme="minorHAnsi" w:cstheme="minorHAnsi"/>
          <w:b/>
          <w:sz w:val="24"/>
          <w:szCs w:val="24"/>
        </w:rPr>
      </w:pPr>
    </w:p>
    <w:p w:rsidR="00DD7854" w:rsidRPr="00BE68E4" w:rsidRDefault="00DD7854" w:rsidP="00DD7854">
      <w:pPr>
        <w:rPr>
          <w:rFonts w:asciiTheme="minorHAnsi" w:hAnsiTheme="minorHAnsi" w:cstheme="minorHAnsi"/>
          <w:b/>
          <w:sz w:val="24"/>
          <w:szCs w:val="24"/>
        </w:rPr>
      </w:pPr>
      <w:r w:rsidRPr="00BE68E4">
        <w:rPr>
          <w:rFonts w:asciiTheme="minorHAnsi" w:hAnsiTheme="minorHAnsi" w:cstheme="minorHAnsi"/>
          <w:b/>
          <w:sz w:val="24"/>
          <w:szCs w:val="24"/>
        </w:rPr>
        <w:t>Παράρτημα</w:t>
      </w:r>
    </w:p>
    <w:p w:rsidR="00DD7854" w:rsidRPr="00BE68E4" w:rsidRDefault="00DD7854" w:rsidP="00DD7854">
      <w:pPr>
        <w:rPr>
          <w:rFonts w:asciiTheme="minorHAnsi" w:hAnsiTheme="minorHAnsi" w:cstheme="minorHAnsi"/>
          <w:sz w:val="24"/>
          <w:szCs w:val="24"/>
        </w:rPr>
      </w:pPr>
    </w:p>
    <w:p w:rsidR="00DD7854" w:rsidRPr="00BE68E4" w:rsidRDefault="00DD7854" w:rsidP="00DD7854">
      <w:pPr>
        <w:rPr>
          <w:rFonts w:asciiTheme="minorHAnsi" w:hAnsiTheme="minorHAnsi" w:cstheme="minorHAnsi"/>
          <w:sz w:val="24"/>
          <w:szCs w:val="24"/>
        </w:rPr>
      </w:pPr>
      <w:r w:rsidRPr="00BE68E4">
        <w:rPr>
          <w:rFonts w:asciiTheme="minorHAnsi" w:hAnsiTheme="minorHAnsi" w:cstheme="minorHAnsi"/>
          <w:sz w:val="24"/>
          <w:szCs w:val="24"/>
        </w:rPr>
        <w:t>Ευρήματα από την αξιολόγηση της επάρκειας των μέτρων που έλαβε η Εταιρεία ΑΒΓ την 31 Δεκεμβρίου 20ΧΧ, σύμφωνα με τις παραγράφους 8, 9 και 10 του άρθρου 16 του Ν. 4514/2018 και των άρθρων 2 έως 7 της απόφασης 1/808/7.2.2018 της Επιτροπής Κεφαλαιαγοράς, σε σχέση με την προστασία των χρηματοπιστωτικών μέσων και κεφαλαίων των πελατών, καθώς και με τη χρησιμοποίηση χρηματοπιστωτικών μέσων των πελατών.</w:t>
      </w:r>
    </w:p>
    <w:p w:rsidR="00DD7854" w:rsidRPr="00BE68E4" w:rsidRDefault="00DD7854" w:rsidP="00DD7854">
      <w:pPr>
        <w:rPr>
          <w:rFonts w:asciiTheme="minorHAnsi" w:hAnsiTheme="minorHAnsi" w:cstheme="minorHAnsi"/>
          <w:sz w:val="24"/>
          <w:szCs w:val="24"/>
        </w:rPr>
      </w:pPr>
    </w:p>
    <w:tbl>
      <w:tblPr>
        <w:tblW w:w="854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880"/>
        <w:gridCol w:w="3481"/>
        <w:gridCol w:w="4179"/>
      </w:tblGrid>
      <w:tr w:rsidR="00DD7854" w:rsidRPr="00BE68E4" w:rsidTr="003D4188">
        <w:tc>
          <w:tcPr>
            <w:tcW w:w="880" w:type="dxa"/>
            <w:shd w:val="clear" w:color="auto" w:fill="auto"/>
          </w:tcPr>
          <w:p w:rsidR="00DD7854" w:rsidRPr="00BE68E4" w:rsidRDefault="00DD7854" w:rsidP="003D4188">
            <w:pPr>
              <w:spacing w:line="240" w:lineRule="auto"/>
              <w:jc w:val="center"/>
              <w:rPr>
                <w:rFonts w:asciiTheme="minorHAnsi" w:hAnsiTheme="minorHAnsi" w:cstheme="minorHAnsi"/>
                <w:b/>
                <w:sz w:val="24"/>
                <w:szCs w:val="24"/>
              </w:rPr>
            </w:pPr>
            <w:r w:rsidRPr="00BE68E4">
              <w:rPr>
                <w:rFonts w:asciiTheme="minorHAnsi" w:hAnsiTheme="minorHAnsi" w:cstheme="minorHAnsi"/>
                <w:b/>
                <w:sz w:val="24"/>
                <w:szCs w:val="24"/>
              </w:rPr>
              <w:t>Α/Α</w:t>
            </w:r>
          </w:p>
        </w:tc>
        <w:tc>
          <w:tcPr>
            <w:tcW w:w="3481" w:type="dxa"/>
            <w:shd w:val="clear" w:color="auto" w:fill="auto"/>
          </w:tcPr>
          <w:p w:rsidR="00DD7854" w:rsidRPr="00BE68E4" w:rsidRDefault="00DD7854" w:rsidP="003D4188">
            <w:pPr>
              <w:spacing w:line="240" w:lineRule="auto"/>
              <w:jc w:val="center"/>
              <w:rPr>
                <w:rFonts w:asciiTheme="minorHAnsi" w:hAnsiTheme="minorHAnsi" w:cstheme="minorHAnsi"/>
                <w:b/>
                <w:sz w:val="24"/>
                <w:szCs w:val="24"/>
              </w:rPr>
            </w:pPr>
            <w:r w:rsidRPr="00BE68E4">
              <w:rPr>
                <w:rFonts w:asciiTheme="minorHAnsi" w:hAnsiTheme="minorHAnsi" w:cstheme="minorHAnsi"/>
                <w:b/>
                <w:sz w:val="24"/>
                <w:szCs w:val="24"/>
              </w:rPr>
              <w:t>Περιγραφή ευρήματος</w:t>
            </w:r>
          </w:p>
        </w:tc>
        <w:tc>
          <w:tcPr>
            <w:tcW w:w="4179" w:type="dxa"/>
            <w:shd w:val="clear" w:color="auto" w:fill="auto"/>
          </w:tcPr>
          <w:p w:rsidR="00DD7854" w:rsidRPr="00BE68E4" w:rsidRDefault="00DD7854" w:rsidP="003D4188">
            <w:pPr>
              <w:spacing w:line="240" w:lineRule="auto"/>
              <w:jc w:val="center"/>
              <w:rPr>
                <w:rFonts w:asciiTheme="minorHAnsi" w:hAnsiTheme="minorHAnsi" w:cstheme="minorHAnsi"/>
                <w:b/>
                <w:sz w:val="24"/>
                <w:szCs w:val="24"/>
              </w:rPr>
            </w:pPr>
            <w:r w:rsidRPr="00BE68E4">
              <w:rPr>
                <w:rFonts w:asciiTheme="minorHAnsi" w:hAnsiTheme="minorHAnsi" w:cstheme="minorHAnsi"/>
                <w:b/>
                <w:sz w:val="24"/>
                <w:szCs w:val="24"/>
              </w:rPr>
              <w:t>Σχόλια της διοίκησης της ΑΕΠΕΥ</w:t>
            </w:r>
          </w:p>
        </w:tc>
      </w:tr>
      <w:tr w:rsidR="00DD7854" w:rsidRPr="00BE68E4" w:rsidTr="003D4188">
        <w:tc>
          <w:tcPr>
            <w:tcW w:w="880" w:type="dxa"/>
            <w:shd w:val="clear" w:color="auto" w:fill="auto"/>
          </w:tcPr>
          <w:p w:rsidR="00DD7854" w:rsidRPr="00BE68E4" w:rsidRDefault="00DD7854" w:rsidP="003D4188">
            <w:pPr>
              <w:spacing w:line="240" w:lineRule="auto"/>
              <w:jc w:val="center"/>
              <w:rPr>
                <w:rFonts w:asciiTheme="minorHAnsi" w:hAnsiTheme="minorHAnsi" w:cstheme="minorHAnsi"/>
                <w:sz w:val="24"/>
                <w:szCs w:val="24"/>
              </w:rPr>
            </w:pPr>
          </w:p>
        </w:tc>
        <w:tc>
          <w:tcPr>
            <w:tcW w:w="3481" w:type="dxa"/>
            <w:shd w:val="clear" w:color="auto" w:fill="auto"/>
          </w:tcPr>
          <w:p w:rsidR="00DD7854" w:rsidRPr="00BE68E4" w:rsidRDefault="00DD7854" w:rsidP="003D4188">
            <w:pPr>
              <w:spacing w:line="240" w:lineRule="auto"/>
              <w:jc w:val="center"/>
              <w:rPr>
                <w:rFonts w:asciiTheme="minorHAnsi" w:hAnsiTheme="minorHAnsi" w:cstheme="minorHAnsi"/>
                <w:sz w:val="24"/>
                <w:szCs w:val="24"/>
              </w:rPr>
            </w:pPr>
          </w:p>
        </w:tc>
        <w:tc>
          <w:tcPr>
            <w:tcW w:w="4179" w:type="dxa"/>
            <w:shd w:val="clear" w:color="auto" w:fill="auto"/>
          </w:tcPr>
          <w:p w:rsidR="00DD7854" w:rsidRPr="00BE68E4" w:rsidRDefault="00DD7854" w:rsidP="003D4188">
            <w:pPr>
              <w:spacing w:line="240" w:lineRule="auto"/>
              <w:jc w:val="center"/>
              <w:rPr>
                <w:rFonts w:asciiTheme="minorHAnsi" w:hAnsiTheme="minorHAnsi" w:cstheme="minorHAnsi"/>
                <w:sz w:val="24"/>
                <w:szCs w:val="24"/>
              </w:rPr>
            </w:pPr>
          </w:p>
        </w:tc>
      </w:tr>
      <w:tr w:rsidR="00DD7854" w:rsidRPr="00BE68E4" w:rsidTr="003D4188">
        <w:tc>
          <w:tcPr>
            <w:tcW w:w="880" w:type="dxa"/>
            <w:shd w:val="clear" w:color="auto" w:fill="auto"/>
          </w:tcPr>
          <w:p w:rsidR="00DD7854" w:rsidRPr="00BE68E4" w:rsidRDefault="00DD7854" w:rsidP="003D4188">
            <w:pPr>
              <w:spacing w:line="240" w:lineRule="auto"/>
              <w:jc w:val="center"/>
              <w:rPr>
                <w:rFonts w:asciiTheme="minorHAnsi" w:hAnsiTheme="minorHAnsi" w:cstheme="minorHAnsi"/>
                <w:sz w:val="24"/>
                <w:szCs w:val="24"/>
              </w:rPr>
            </w:pPr>
          </w:p>
        </w:tc>
        <w:tc>
          <w:tcPr>
            <w:tcW w:w="3481" w:type="dxa"/>
            <w:shd w:val="clear" w:color="auto" w:fill="auto"/>
          </w:tcPr>
          <w:p w:rsidR="00DD7854" w:rsidRPr="00BE68E4" w:rsidRDefault="00DD7854" w:rsidP="003D4188">
            <w:pPr>
              <w:spacing w:line="240" w:lineRule="auto"/>
              <w:rPr>
                <w:rFonts w:asciiTheme="minorHAnsi" w:hAnsiTheme="minorHAnsi" w:cstheme="minorHAnsi"/>
                <w:sz w:val="24"/>
                <w:szCs w:val="24"/>
              </w:rPr>
            </w:pPr>
          </w:p>
        </w:tc>
        <w:tc>
          <w:tcPr>
            <w:tcW w:w="4179" w:type="dxa"/>
            <w:shd w:val="clear" w:color="auto" w:fill="auto"/>
          </w:tcPr>
          <w:p w:rsidR="00DD7854" w:rsidRPr="00BE68E4" w:rsidRDefault="00DD7854" w:rsidP="003D4188">
            <w:pPr>
              <w:spacing w:line="240" w:lineRule="auto"/>
              <w:rPr>
                <w:rFonts w:asciiTheme="minorHAnsi" w:hAnsiTheme="minorHAnsi" w:cstheme="minorHAnsi"/>
                <w:sz w:val="24"/>
                <w:szCs w:val="24"/>
              </w:rPr>
            </w:pPr>
          </w:p>
        </w:tc>
      </w:tr>
      <w:tr w:rsidR="00DD7854" w:rsidRPr="00BE68E4" w:rsidTr="003D4188">
        <w:tc>
          <w:tcPr>
            <w:tcW w:w="880" w:type="dxa"/>
            <w:shd w:val="clear" w:color="auto" w:fill="auto"/>
          </w:tcPr>
          <w:p w:rsidR="00DD7854" w:rsidRPr="00BE68E4" w:rsidRDefault="00DD7854" w:rsidP="003D4188">
            <w:pPr>
              <w:spacing w:line="240" w:lineRule="auto"/>
              <w:jc w:val="center"/>
              <w:rPr>
                <w:rFonts w:asciiTheme="minorHAnsi" w:hAnsiTheme="minorHAnsi" w:cstheme="minorHAnsi"/>
                <w:sz w:val="24"/>
                <w:szCs w:val="24"/>
              </w:rPr>
            </w:pPr>
          </w:p>
        </w:tc>
        <w:tc>
          <w:tcPr>
            <w:tcW w:w="3481" w:type="dxa"/>
            <w:shd w:val="clear" w:color="auto" w:fill="auto"/>
          </w:tcPr>
          <w:p w:rsidR="00DD7854" w:rsidRPr="00BE68E4" w:rsidRDefault="00DD7854" w:rsidP="003D4188">
            <w:pPr>
              <w:spacing w:line="240" w:lineRule="auto"/>
              <w:rPr>
                <w:rFonts w:asciiTheme="minorHAnsi" w:hAnsiTheme="minorHAnsi" w:cstheme="minorHAnsi"/>
                <w:sz w:val="24"/>
                <w:szCs w:val="24"/>
              </w:rPr>
            </w:pPr>
          </w:p>
        </w:tc>
        <w:tc>
          <w:tcPr>
            <w:tcW w:w="4179" w:type="dxa"/>
            <w:shd w:val="clear" w:color="auto" w:fill="auto"/>
          </w:tcPr>
          <w:p w:rsidR="00DD7854" w:rsidRPr="00BE68E4" w:rsidRDefault="00DD7854" w:rsidP="003D4188">
            <w:pPr>
              <w:spacing w:line="240" w:lineRule="auto"/>
              <w:rPr>
                <w:rFonts w:asciiTheme="minorHAnsi" w:hAnsiTheme="minorHAnsi" w:cstheme="minorHAnsi"/>
                <w:sz w:val="24"/>
                <w:szCs w:val="24"/>
              </w:rPr>
            </w:pPr>
          </w:p>
        </w:tc>
      </w:tr>
    </w:tbl>
    <w:p w:rsidR="00DD7854" w:rsidRPr="00BE68E4" w:rsidRDefault="00DD7854" w:rsidP="00DD7854">
      <w:pPr>
        <w:spacing w:line="360" w:lineRule="exact"/>
        <w:rPr>
          <w:rFonts w:asciiTheme="minorHAnsi" w:hAnsiTheme="minorHAnsi" w:cstheme="minorHAnsi"/>
          <w:sz w:val="24"/>
          <w:szCs w:val="24"/>
        </w:rPr>
      </w:pPr>
    </w:p>
    <w:p w:rsidR="00DD7854" w:rsidRPr="00BE68E4" w:rsidRDefault="00DD7854" w:rsidP="00DD7854">
      <w:pPr>
        <w:autoSpaceDE w:val="0"/>
        <w:autoSpaceDN w:val="0"/>
        <w:adjustRightInd w:val="0"/>
        <w:spacing w:line="240" w:lineRule="atLeast"/>
        <w:rPr>
          <w:rFonts w:asciiTheme="minorHAnsi" w:hAnsiTheme="minorHAnsi" w:cstheme="minorHAnsi"/>
          <w:sz w:val="24"/>
          <w:szCs w:val="24"/>
        </w:rPr>
      </w:pPr>
    </w:p>
    <w:p w:rsidR="00DD7854" w:rsidRPr="00BE68E4" w:rsidRDefault="00DD7854" w:rsidP="00DD7854">
      <w:pPr>
        <w:spacing w:after="200" w:line="276" w:lineRule="auto"/>
        <w:jc w:val="left"/>
        <w:rPr>
          <w:rFonts w:asciiTheme="minorHAnsi" w:hAnsiTheme="minorHAnsi" w:cstheme="minorHAnsi"/>
          <w:b/>
          <w:color w:val="808080"/>
          <w:sz w:val="24"/>
          <w:szCs w:val="24"/>
          <w:highlight w:val="yellow"/>
        </w:rPr>
      </w:pPr>
    </w:p>
    <w:sectPr w:rsidR="00DD7854" w:rsidRPr="00BE68E4" w:rsidSect="00BE68E4">
      <w:footerReference w:type="default" r:id="rId8"/>
      <w:pgSz w:w="11906" w:h="16838"/>
      <w:pgMar w:top="1418" w:right="1800" w:bottom="1440" w:left="1800" w:header="708"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3133E" w:rsidRDefault="00A3133E" w:rsidP="00BE68E4">
      <w:pPr>
        <w:spacing w:line="240" w:lineRule="auto"/>
      </w:pPr>
      <w:r>
        <w:separator/>
      </w:r>
    </w:p>
  </w:endnote>
  <w:endnote w:type="continuationSeparator" w:id="0">
    <w:p w:rsidR="00A3133E" w:rsidRDefault="00A3133E" w:rsidP="00BE68E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10002FF" w:usb1="4000ACFF" w:usb2="00000009" w:usb3="00000000" w:csb0="0000019F" w:csb1="00000000"/>
  </w:font>
  <w:font w:name="Arial">
    <w:panose1 w:val="020B0604020202020204"/>
    <w:charset w:val="A1"/>
    <w:family w:val="swiss"/>
    <w:pitch w:val="variable"/>
    <w:sig w:usb0="E0002AFF" w:usb1="C0007843" w:usb2="00000009" w:usb3="00000000" w:csb0="000001FF" w:csb1="00000000"/>
  </w:font>
  <w:font w:name="Calibri Light">
    <w:panose1 w:val="020F0302020204030204"/>
    <w:charset w:val="A1"/>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heme="minorHAnsi" w:hAnsiTheme="minorHAnsi" w:cstheme="minorHAnsi"/>
        <w:sz w:val="18"/>
        <w:szCs w:val="18"/>
      </w:rPr>
      <w:id w:val="-48850034"/>
      <w:docPartObj>
        <w:docPartGallery w:val="Page Numbers (Bottom of Page)"/>
        <w:docPartUnique/>
      </w:docPartObj>
    </w:sdtPr>
    <w:sdtEndPr/>
    <w:sdtContent>
      <w:p w:rsidR="00BE68E4" w:rsidRPr="00BE68E4" w:rsidRDefault="00BE68E4">
        <w:pPr>
          <w:pStyle w:val="a6"/>
          <w:jc w:val="center"/>
          <w:rPr>
            <w:rFonts w:asciiTheme="minorHAnsi" w:hAnsiTheme="minorHAnsi" w:cstheme="minorHAnsi"/>
            <w:sz w:val="18"/>
            <w:szCs w:val="18"/>
          </w:rPr>
        </w:pPr>
        <w:r w:rsidRPr="00BE68E4">
          <w:rPr>
            <w:rFonts w:asciiTheme="minorHAnsi" w:hAnsiTheme="minorHAnsi" w:cstheme="minorHAnsi"/>
            <w:sz w:val="18"/>
            <w:szCs w:val="18"/>
          </w:rPr>
          <w:t>[</w:t>
        </w:r>
        <w:r w:rsidRPr="00BE68E4">
          <w:rPr>
            <w:rFonts w:asciiTheme="minorHAnsi" w:hAnsiTheme="minorHAnsi" w:cstheme="minorHAnsi"/>
            <w:sz w:val="18"/>
            <w:szCs w:val="18"/>
          </w:rPr>
          <w:fldChar w:fldCharType="begin"/>
        </w:r>
        <w:r w:rsidRPr="00BE68E4">
          <w:rPr>
            <w:rFonts w:asciiTheme="minorHAnsi" w:hAnsiTheme="minorHAnsi" w:cstheme="minorHAnsi"/>
            <w:sz w:val="18"/>
            <w:szCs w:val="18"/>
          </w:rPr>
          <w:instrText>PAGE   \* MERGEFORMAT</w:instrText>
        </w:r>
        <w:r w:rsidRPr="00BE68E4">
          <w:rPr>
            <w:rFonts w:asciiTheme="minorHAnsi" w:hAnsiTheme="minorHAnsi" w:cstheme="minorHAnsi"/>
            <w:sz w:val="18"/>
            <w:szCs w:val="18"/>
          </w:rPr>
          <w:fldChar w:fldCharType="separate"/>
        </w:r>
        <w:r w:rsidR="00072542">
          <w:rPr>
            <w:rFonts w:asciiTheme="minorHAnsi" w:hAnsiTheme="minorHAnsi" w:cstheme="minorHAnsi"/>
            <w:noProof/>
            <w:sz w:val="18"/>
            <w:szCs w:val="18"/>
          </w:rPr>
          <w:t>1</w:t>
        </w:r>
        <w:r w:rsidRPr="00BE68E4">
          <w:rPr>
            <w:rFonts w:asciiTheme="minorHAnsi" w:hAnsiTheme="minorHAnsi" w:cstheme="minorHAnsi"/>
            <w:sz w:val="18"/>
            <w:szCs w:val="18"/>
          </w:rPr>
          <w:fldChar w:fldCharType="end"/>
        </w:r>
        <w:r w:rsidRPr="00BE68E4">
          <w:rPr>
            <w:rFonts w:asciiTheme="minorHAnsi" w:hAnsiTheme="minorHAnsi" w:cstheme="minorHAnsi"/>
            <w:sz w:val="18"/>
            <w:szCs w:val="18"/>
          </w:rPr>
          <w:t>]</w:t>
        </w:r>
      </w:p>
    </w:sdtContent>
  </w:sdt>
  <w:p w:rsidR="00BE68E4" w:rsidRDefault="00BE68E4">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3133E" w:rsidRDefault="00A3133E" w:rsidP="00BE68E4">
      <w:pPr>
        <w:spacing w:line="240" w:lineRule="auto"/>
      </w:pPr>
      <w:r>
        <w:separator/>
      </w:r>
    </w:p>
  </w:footnote>
  <w:footnote w:type="continuationSeparator" w:id="0">
    <w:p w:rsidR="00A3133E" w:rsidRDefault="00A3133E" w:rsidP="00BE68E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5FC384B"/>
    <w:multiLevelType w:val="hybridMultilevel"/>
    <w:tmpl w:val="10481810"/>
    <w:lvl w:ilvl="0" w:tplc="705CDD8C">
      <w:start w:val="1"/>
      <w:numFmt w:val="lowerRoman"/>
      <w:pStyle w:val="a"/>
      <w:lvlText w:val="%1."/>
      <w:lvlJc w:val="right"/>
      <w:pPr>
        <w:tabs>
          <w:tab w:val="num" w:pos="340"/>
        </w:tabs>
        <w:ind w:left="340" w:hanging="340"/>
      </w:pPr>
      <w:rPr>
        <w:rFonts w:hint="default"/>
        <w:sz w:val="26"/>
        <w:szCs w:val="26"/>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854"/>
    <w:rsid w:val="00072542"/>
    <w:rsid w:val="00554AFE"/>
    <w:rsid w:val="00912C57"/>
    <w:rsid w:val="00A3133E"/>
    <w:rsid w:val="00BE68E4"/>
    <w:rsid w:val="00DD785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F42818-775E-466D-AF6F-38A008B0D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DD7854"/>
    <w:pPr>
      <w:spacing w:after="0" w:line="360" w:lineRule="atLeast"/>
      <w:jc w:val="both"/>
    </w:pPr>
    <w:rPr>
      <w:rFonts w:ascii="Arial" w:eastAsia="Times New Roman" w:hAnsi="Arial" w:cs="Times New Roman"/>
      <w:sz w:val="26"/>
      <w:szCs w:val="20"/>
      <w:lang w:eastAsia="el-GR"/>
    </w:rPr>
  </w:style>
  <w:style w:type="paragraph" w:styleId="1">
    <w:name w:val="heading 1"/>
    <w:basedOn w:val="a0"/>
    <w:next w:val="a0"/>
    <w:link w:val="1Char"/>
    <w:qFormat/>
    <w:rsid w:val="00DD7854"/>
    <w:pPr>
      <w:keepNext/>
      <w:tabs>
        <w:tab w:val="right" w:pos="5400"/>
        <w:tab w:val="right" w:pos="7920"/>
      </w:tabs>
      <w:spacing w:line="240" w:lineRule="auto"/>
      <w:jc w:val="left"/>
      <w:outlineLvl w:val="0"/>
    </w:pPr>
    <w:rPr>
      <w:b/>
      <w:bCs/>
      <w:sz w:val="22"/>
      <w:szCs w:val="24"/>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Επικεφαλίδα 1 Char"/>
    <w:basedOn w:val="a1"/>
    <w:link w:val="1"/>
    <w:rsid w:val="00DD7854"/>
    <w:rPr>
      <w:rFonts w:ascii="Arial" w:eastAsia="Times New Roman" w:hAnsi="Arial" w:cs="Times New Roman"/>
      <w:b/>
      <w:bCs/>
      <w:szCs w:val="24"/>
    </w:rPr>
  </w:style>
  <w:style w:type="paragraph" w:styleId="a4">
    <w:name w:val="Body Text"/>
    <w:basedOn w:val="a0"/>
    <w:link w:val="Char"/>
    <w:rsid w:val="00DD7854"/>
    <w:pPr>
      <w:spacing w:line="240" w:lineRule="auto"/>
    </w:pPr>
    <w:rPr>
      <w:rFonts w:ascii="Times New Roman" w:hAnsi="Times New Roman"/>
      <w:sz w:val="24"/>
    </w:rPr>
  </w:style>
  <w:style w:type="character" w:customStyle="1" w:styleId="Char">
    <w:name w:val="Σώμα κειμένου Char"/>
    <w:basedOn w:val="a1"/>
    <w:link w:val="a4"/>
    <w:rsid w:val="00DD7854"/>
    <w:rPr>
      <w:rFonts w:ascii="Times New Roman" w:eastAsia="Times New Roman" w:hAnsi="Times New Roman" w:cs="Times New Roman"/>
      <w:sz w:val="24"/>
      <w:szCs w:val="20"/>
      <w:lang w:eastAsia="el-GR"/>
    </w:rPr>
  </w:style>
  <w:style w:type="paragraph" w:styleId="a">
    <w:name w:val="List Bullet"/>
    <w:basedOn w:val="a4"/>
    <w:rsid w:val="00DD7854"/>
    <w:pPr>
      <w:numPr>
        <w:numId w:val="1"/>
      </w:numPr>
      <w:spacing w:after="130" w:line="260" w:lineRule="atLeast"/>
      <w:jc w:val="left"/>
    </w:pPr>
    <w:rPr>
      <w:sz w:val="22"/>
      <w:lang w:val="en-GB" w:eastAsia="en-US"/>
    </w:rPr>
  </w:style>
  <w:style w:type="paragraph" w:styleId="a5">
    <w:name w:val="header"/>
    <w:basedOn w:val="a0"/>
    <w:link w:val="Char0"/>
    <w:uiPriority w:val="99"/>
    <w:unhideWhenUsed/>
    <w:rsid w:val="00BE68E4"/>
    <w:pPr>
      <w:tabs>
        <w:tab w:val="center" w:pos="4153"/>
        <w:tab w:val="right" w:pos="8306"/>
      </w:tabs>
      <w:spacing w:line="240" w:lineRule="auto"/>
    </w:pPr>
  </w:style>
  <w:style w:type="character" w:customStyle="1" w:styleId="Char0">
    <w:name w:val="Κεφαλίδα Char"/>
    <w:basedOn w:val="a1"/>
    <w:link w:val="a5"/>
    <w:uiPriority w:val="99"/>
    <w:rsid w:val="00BE68E4"/>
    <w:rPr>
      <w:rFonts w:ascii="Arial" w:eastAsia="Times New Roman" w:hAnsi="Arial" w:cs="Times New Roman"/>
      <w:sz w:val="26"/>
      <w:szCs w:val="20"/>
      <w:lang w:eastAsia="el-GR"/>
    </w:rPr>
  </w:style>
  <w:style w:type="paragraph" w:styleId="a6">
    <w:name w:val="footer"/>
    <w:basedOn w:val="a0"/>
    <w:link w:val="Char1"/>
    <w:uiPriority w:val="99"/>
    <w:unhideWhenUsed/>
    <w:rsid w:val="00BE68E4"/>
    <w:pPr>
      <w:tabs>
        <w:tab w:val="center" w:pos="4153"/>
        <w:tab w:val="right" w:pos="8306"/>
      </w:tabs>
      <w:spacing w:line="240" w:lineRule="auto"/>
    </w:pPr>
  </w:style>
  <w:style w:type="character" w:customStyle="1" w:styleId="Char1">
    <w:name w:val="Υποσέλιδο Char"/>
    <w:basedOn w:val="a1"/>
    <w:link w:val="a6"/>
    <w:uiPriority w:val="99"/>
    <w:rsid w:val="00BE68E4"/>
    <w:rPr>
      <w:rFonts w:ascii="Arial" w:eastAsia="Times New Roman" w:hAnsi="Arial" w:cs="Times New Roman"/>
      <w:sz w:val="26"/>
      <w:szCs w:val="20"/>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kpmg.com/g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1095</Words>
  <Characters>5919</Characters>
  <Application>Microsoft Office Word</Application>
  <DocSecurity>0</DocSecurity>
  <Lines>49</Lines>
  <Paragraphs>13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7001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Grammenou Katerina</dc:creator>
  <cp:keywords/>
  <dc:description/>
  <cp:lastModifiedBy>Grammenou Katerina</cp:lastModifiedBy>
  <cp:revision>2</cp:revision>
  <dcterms:created xsi:type="dcterms:W3CDTF">2019-03-01T07:59:00Z</dcterms:created>
  <dcterms:modified xsi:type="dcterms:W3CDTF">2019-03-01T07:59:00Z</dcterms:modified>
</cp:coreProperties>
</file>